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C1" w:rsidRPr="004147D5" w:rsidRDefault="00B059C1" w:rsidP="00B059C1">
      <w:pPr>
        <w:pStyle w:val="Heading"/>
        <w:rPr>
          <w:rFonts w:asciiTheme="minorHAnsi" w:hAnsiTheme="minorHAnsi"/>
        </w:rPr>
      </w:pPr>
      <w:r w:rsidRPr="004147D5">
        <w:rPr>
          <w:rFonts w:asciiTheme="minorHAnsi" w:hAnsiTheme="minorHAnsi"/>
        </w:rPr>
        <w:t xml:space="preserve">For Immediate Release </w:t>
      </w:r>
    </w:p>
    <w:p w:rsidR="00B059C1" w:rsidRPr="004147D5" w:rsidRDefault="0041133B" w:rsidP="00B059C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13</w:t>
      </w:r>
      <w:r w:rsidR="003B3EC5">
        <w:rPr>
          <w:rFonts w:asciiTheme="minorHAnsi" w:hAnsiTheme="minorHAnsi"/>
          <w:sz w:val="22"/>
        </w:rPr>
        <w:t>, 2017</w:t>
      </w:r>
    </w:p>
    <w:p w:rsidR="00B059C1" w:rsidRPr="004147D5" w:rsidRDefault="00B059C1" w:rsidP="00B059C1">
      <w:pPr>
        <w:rPr>
          <w:rFonts w:asciiTheme="minorHAnsi" w:hAnsiTheme="minorHAnsi"/>
          <w:sz w:val="22"/>
        </w:rPr>
      </w:pPr>
    </w:p>
    <w:p w:rsidR="00B059C1" w:rsidRPr="004147D5" w:rsidRDefault="00B059C1" w:rsidP="00B059C1">
      <w:pPr>
        <w:tabs>
          <w:tab w:val="left" w:pos="810"/>
        </w:tabs>
        <w:rPr>
          <w:rFonts w:asciiTheme="minorHAnsi" w:hAnsiTheme="minorHAnsi"/>
          <w:sz w:val="22"/>
        </w:rPr>
      </w:pPr>
      <w:r w:rsidRPr="004147D5">
        <w:rPr>
          <w:rFonts w:asciiTheme="minorHAnsi" w:hAnsiTheme="minorHAnsi"/>
          <w:sz w:val="22"/>
        </w:rPr>
        <w:t>Contact: Elliott Bronstein</w:t>
      </w:r>
    </w:p>
    <w:p w:rsidR="00B059C1" w:rsidRPr="004147D5" w:rsidRDefault="00B059C1" w:rsidP="00B059C1">
      <w:pPr>
        <w:tabs>
          <w:tab w:val="left" w:pos="810"/>
        </w:tabs>
        <w:rPr>
          <w:rFonts w:asciiTheme="minorHAnsi" w:hAnsiTheme="minorHAnsi"/>
          <w:sz w:val="22"/>
        </w:rPr>
      </w:pPr>
      <w:r w:rsidRPr="004147D5">
        <w:rPr>
          <w:rFonts w:asciiTheme="minorHAnsi" w:hAnsiTheme="minorHAnsi"/>
          <w:sz w:val="22"/>
        </w:rPr>
        <w:tab/>
        <w:t>206-684-4507</w:t>
      </w:r>
    </w:p>
    <w:p w:rsidR="00B059C1" w:rsidRPr="004147D5" w:rsidRDefault="00B059C1" w:rsidP="00B059C1">
      <w:pPr>
        <w:tabs>
          <w:tab w:val="left" w:pos="810"/>
        </w:tabs>
        <w:rPr>
          <w:rFonts w:asciiTheme="minorHAnsi" w:hAnsiTheme="minorHAnsi"/>
          <w:sz w:val="22"/>
        </w:rPr>
      </w:pPr>
      <w:r w:rsidRPr="004147D5">
        <w:rPr>
          <w:rFonts w:asciiTheme="minorHAnsi" w:hAnsiTheme="minorHAnsi"/>
          <w:sz w:val="22"/>
        </w:rPr>
        <w:tab/>
      </w:r>
      <w:r w:rsidRPr="004147D5">
        <w:rPr>
          <w:rFonts w:asciiTheme="minorHAnsi" w:hAnsiTheme="minorHAnsi"/>
          <w:sz w:val="22"/>
        </w:rPr>
        <w:softHyphen/>
      </w:r>
      <w:hyperlink r:id="rId8" w:history="1">
        <w:r w:rsidRPr="004147D5">
          <w:rPr>
            <w:rStyle w:val="Hyperlink"/>
            <w:rFonts w:asciiTheme="minorHAnsi" w:hAnsiTheme="minorHAnsi"/>
            <w:sz w:val="22"/>
          </w:rPr>
          <w:t>elliott.bronstein@seattle.gov</w:t>
        </w:r>
      </w:hyperlink>
      <w:r w:rsidRPr="004147D5">
        <w:rPr>
          <w:rFonts w:asciiTheme="minorHAnsi" w:hAnsiTheme="minorHAnsi"/>
          <w:sz w:val="22"/>
        </w:rPr>
        <w:t xml:space="preserve"> </w:t>
      </w:r>
    </w:p>
    <w:p w:rsidR="00B059C1" w:rsidRPr="004147D5" w:rsidRDefault="00B059C1" w:rsidP="00B059C1">
      <w:pPr>
        <w:rPr>
          <w:rFonts w:asciiTheme="minorHAnsi" w:hAnsiTheme="minorHAnsi" w:cs="Arial"/>
          <w:b/>
          <w:bCs/>
        </w:rPr>
      </w:pPr>
    </w:p>
    <w:p w:rsidR="00B059C1" w:rsidRPr="004147D5" w:rsidRDefault="00B059C1" w:rsidP="00B059C1">
      <w:pPr>
        <w:rPr>
          <w:rFonts w:asciiTheme="minorHAnsi" w:hAnsiTheme="minorHAnsi" w:cs="Arial"/>
          <w:b/>
          <w:bCs/>
        </w:rPr>
      </w:pPr>
    </w:p>
    <w:p w:rsidR="00B059C1" w:rsidRPr="00B059C1" w:rsidRDefault="00820C23" w:rsidP="00B059C1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Final </w:t>
      </w:r>
      <w:r w:rsidR="00B059C1" w:rsidRPr="00B059C1">
        <w:rPr>
          <w:rFonts w:cs="Arial"/>
          <w:b/>
          <w:bCs/>
          <w:sz w:val="28"/>
        </w:rPr>
        <w:t xml:space="preserve">Administrative Rules </w:t>
      </w:r>
      <w:r>
        <w:rPr>
          <w:rFonts w:cs="Arial"/>
          <w:b/>
          <w:bCs/>
          <w:sz w:val="28"/>
        </w:rPr>
        <w:t>posted</w:t>
      </w:r>
      <w:r w:rsidR="00B059C1" w:rsidRPr="00B059C1">
        <w:rPr>
          <w:rFonts w:cs="Arial"/>
          <w:b/>
          <w:bCs/>
          <w:sz w:val="28"/>
        </w:rPr>
        <w:t xml:space="preserve"> for </w:t>
      </w:r>
      <w:r w:rsidR="00B059C1">
        <w:rPr>
          <w:rFonts w:cs="Arial"/>
          <w:b/>
          <w:bCs/>
          <w:sz w:val="28"/>
        </w:rPr>
        <w:br/>
      </w:r>
      <w:r w:rsidR="00B059C1" w:rsidRPr="00B059C1">
        <w:rPr>
          <w:rFonts w:cs="Arial"/>
          <w:b/>
          <w:bCs/>
          <w:sz w:val="28"/>
        </w:rPr>
        <w:t>City of Seattle Secure Scheduling Ordinance</w:t>
      </w:r>
    </w:p>
    <w:p w:rsidR="00B059C1" w:rsidRDefault="00B059C1" w:rsidP="00B059C1">
      <w:pPr>
        <w:rPr>
          <w:rFonts w:cs="Arial"/>
        </w:rPr>
      </w:pPr>
    </w:p>
    <w:p w:rsidR="00B059C1" w:rsidRPr="00820C23" w:rsidRDefault="00820C23" w:rsidP="00B059C1">
      <w:pPr>
        <w:rPr>
          <w:rFonts w:cs="Arial"/>
          <w:b/>
          <w:sz w:val="22"/>
        </w:rPr>
      </w:pPr>
      <w:r w:rsidRPr="00820C23">
        <w:rPr>
          <w:rFonts w:cs="Arial"/>
          <w:b/>
          <w:sz w:val="22"/>
          <w:szCs w:val="22"/>
        </w:rPr>
        <w:t xml:space="preserve">Secure Scheduling Ordinance </w:t>
      </w:r>
      <w:r>
        <w:rPr>
          <w:rFonts w:cs="Arial"/>
          <w:b/>
          <w:sz w:val="22"/>
          <w:szCs w:val="22"/>
        </w:rPr>
        <w:t>to</w:t>
      </w:r>
      <w:r w:rsidRPr="00820C23">
        <w:rPr>
          <w:rFonts w:cs="Arial"/>
          <w:b/>
          <w:sz w:val="22"/>
          <w:szCs w:val="22"/>
        </w:rPr>
        <w:t xml:space="preserve"> go into effect on July 1, </w:t>
      </w:r>
      <w:r>
        <w:rPr>
          <w:rFonts w:cs="Arial"/>
          <w:b/>
          <w:sz w:val="22"/>
          <w:szCs w:val="22"/>
        </w:rPr>
        <w:t>2017</w:t>
      </w:r>
      <w:r w:rsidR="006333FC">
        <w:rPr>
          <w:rFonts w:cs="Arial"/>
          <w:b/>
          <w:sz w:val="22"/>
          <w:szCs w:val="22"/>
        </w:rPr>
        <w:t xml:space="preserve">; soft launch </w:t>
      </w:r>
      <w:r w:rsidR="00255702">
        <w:rPr>
          <w:rFonts w:cs="Arial"/>
          <w:b/>
          <w:sz w:val="22"/>
          <w:szCs w:val="22"/>
        </w:rPr>
        <w:t xml:space="preserve">until </w:t>
      </w:r>
      <w:r w:rsidR="006333FC">
        <w:rPr>
          <w:rFonts w:cs="Arial"/>
          <w:b/>
          <w:sz w:val="22"/>
          <w:szCs w:val="22"/>
        </w:rPr>
        <w:t>December 31</w:t>
      </w:r>
    </w:p>
    <w:p w:rsidR="00B059C1" w:rsidRDefault="00B059C1" w:rsidP="00B059C1">
      <w:pPr>
        <w:rPr>
          <w:rFonts w:cs="Arial"/>
        </w:rPr>
      </w:pPr>
    </w:p>
    <w:p w:rsidR="00B059C1" w:rsidRPr="006D1D98" w:rsidRDefault="00B059C1" w:rsidP="00B059C1">
      <w:pPr>
        <w:rPr>
          <w:rFonts w:asciiTheme="minorHAnsi" w:hAnsiTheme="minorHAnsi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 xml:space="preserve">Seattle – The Seattle Office of Labor Standards (OLS) has </w:t>
      </w:r>
      <w:r w:rsidR="00820C23">
        <w:rPr>
          <w:rFonts w:asciiTheme="minorHAnsi" w:hAnsiTheme="minorHAnsi" w:cs="Arial"/>
          <w:sz w:val="22"/>
          <w:szCs w:val="22"/>
        </w:rPr>
        <w:t>posted the final</w:t>
      </w:r>
      <w:r w:rsidRPr="00B059C1">
        <w:rPr>
          <w:rFonts w:asciiTheme="minorHAnsi" w:hAnsiTheme="minorHAnsi" w:cs="Arial"/>
          <w:sz w:val="22"/>
          <w:szCs w:val="22"/>
        </w:rPr>
        <w:t xml:space="preserve"> Administrative Rules for Seattle’s Secure Scheduling Ordinance (</w:t>
      </w:r>
      <w:hyperlink r:id="rId9" w:history="1">
        <w:r w:rsidRPr="00B059C1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SMC 14.22</w:t>
        </w:r>
      </w:hyperlink>
      <w:r w:rsidRPr="00B059C1">
        <w:rPr>
          <w:rFonts w:asciiTheme="minorHAnsi" w:hAnsiTheme="minorHAnsi" w:cs="Arial"/>
          <w:sz w:val="22"/>
          <w:szCs w:val="22"/>
        </w:rPr>
        <w:t xml:space="preserve">). The full text of the </w:t>
      </w:r>
      <w:r w:rsidR="00820C23">
        <w:rPr>
          <w:rFonts w:asciiTheme="minorHAnsi" w:hAnsiTheme="minorHAnsi" w:cs="Arial"/>
          <w:sz w:val="22"/>
          <w:szCs w:val="22"/>
        </w:rPr>
        <w:t xml:space="preserve">final </w:t>
      </w:r>
      <w:r w:rsidRPr="00B059C1">
        <w:rPr>
          <w:rFonts w:asciiTheme="minorHAnsi" w:hAnsiTheme="minorHAnsi" w:cs="Arial"/>
          <w:sz w:val="22"/>
          <w:szCs w:val="22"/>
        </w:rPr>
        <w:t xml:space="preserve">rules is available </w:t>
      </w:r>
      <w:r w:rsidRPr="006D1D98">
        <w:rPr>
          <w:rFonts w:asciiTheme="minorHAnsi" w:hAnsiTheme="minorHAnsi" w:cs="Arial"/>
          <w:sz w:val="22"/>
          <w:szCs w:val="22"/>
        </w:rPr>
        <w:t xml:space="preserve">at </w:t>
      </w:r>
      <w:hyperlink r:id="rId10" w:history="1">
        <w:r w:rsidRPr="006D1D98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http://www.seattle.gov/laborstandards/ordinances/secure-scheduling</w:t>
        </w:r>
      </w:hyperlink>
      <w:r w:rsidRPr="006D1D98">
        <w:rPr>
          <w:rFonts w:asciiTheme="minorHAnsi" w:hAnsiTheme="minorHAnsi" w:cs="Arial"/>
          <w:sz w:val="22"/>
          <w:szCs w:val="22"/>
        </w:rPr>
        <w:t xml:space="preserve">. </w:t>
      </w:r>
      <w:r w:rsidRPr="006D1D98">
        <w:rPr>
          <w:rFonts w:asciiTheme="minorHAnsi" w:hAnsiTheme="minorHAnsi"/>
          <w:sz w:val="22"/>
          <w:szCs w:val="22"/>
        </w:rPr>
        <w:t xml:space="preserve"> </w:t>
      </w:r>
    </w:p>
    <w:p w:rsidR="00B059C1" w:rsidRPr="006D1D98" w:rsidRDefault="00B059C1" w:rsidP="00B059C1">
      <w:pPr>
        <w:rPr>
          <w:rFonts w:asciiTheme="minorHAnsi" w:hAnsiTheme="minorHAnsi" w:cs="Arial"/>
          <w:sz w:val="22"/>
          <w:szCs w:val="22"/>
        </w:rPr>
      </w:pPr>
    </w:p>
    <w:p w:rsidR="006D1D98" w:rsidRPr="006333FC" w:rsidRDefault="006D1D98" w:rsidP="00B059C1">
      <w:pPr>
        <w:rPr>
          <w:rFonts w:asciiTheme="minorHAnsi" w:hAnsiTheme="minorHAnsi" w:cs="Arial"/>
          <w:sz w:val="20"/>
          <w:szCs w:val="22"/>
        </w:rPr>
      </w:pPr>
      <w:r w:rsidRPr="006D1D98">
        <w:rPr>
          <w:rFonts w:asciiTheme="minorHAnsi" w:hAnsiTheme="minorHAnsi"/>
          <w:sz w:val="22"/>
          <w:szCs w:val="22"/>
        </w:rPr>
        <w:t>OLS will conduct a</w:t>
      </w:r>
      <w:r w:rsidR="00255702">
        <w:rPr>
          <w:rFonts w:asciiTheme="minorHAnsi" w:hAnsiTheme="minorHAnsi"/>
          <w:sz w:val="22"/>
          <w:szCs w:val="22"/>
        </w:rPr>
        <w:t>n outreach</w:t>
      </w:r>
      <w:r w:rsidRPr="006D1D98">
        <w:rPr>
          <w:rFonts w:asciiTheme="minorHAnsi" w:hAnsiTheme="minorHAnsi"/>
          <w:sz w:val="22"/>
          <w:szCs w:val="22"/>
        </w:rPr>
        <w:t xml:space="preserve"> roll-out campaign </w:t>
      </w:r>
      <w:r w:rsidR="004E77A8">
        <w:rPr>
          <w:rFonts w:asciiTheme="minorHAnsi" w:hAnsiTheme="minorHAnsi"/>
          <w:sz w:val="22"/>
          <w:szCs w:val="22"/>
        </w:rPr>
        <w:t xml:space="preserve">leading up to </w:t>
      </w:r>
      <w:r w:rsidRPr="006D1D98">
        <w:rPr>
          <w:rFonts w:asciiTheme="minorHAnsi" w:hAnsiTheme="minorHAnsi"/>
          <w:sz w:val="22"/>
          <w:szCs w:val="22"/>
        </w:rPr>
        <w:t xml:space="preserve">the </w:t>
      </w:r>
      <w:r w:rsidR="006333FC">
        <w:rPr>
          <w:rFonts w:asciiTheme="minorHAnsi" w:hAnsiTheme="minorHAnsi"/>
          <w:sz w:val="22"/>
          <w:szCs w:val="22"/>
        </w:rPr>
        <w:t>law</w:t>
      </w:r>
      <w:r w:rsidRPr="006D1D98">
        <w:rPr>
          <w:rFonts w:asciiTheme="minorHAnsi" w:hAnsiTheme="minorHAnsi"/>
          <w:sz w:val="22"/>
          <w:szCs w:val="22"/>
        </w:rPr>
        <w:t xml:space="preserve">’s </w:t>
      </w:r>
      <w:r w:rsidR="004E77A8">
        <w:rPr>
          <w:rFonts w:asciiTheme="minorHAnsi" w:hAnsiTheme="minorHAnsi"/>
          <w:sz w:val="22"/>
          <w:szCs w:val="22"/>
        </w:rPr>
        <w:t>July 1</w:t>
      </w:r>
      <w:r w:rsidR="003B3EC5">
        <w:rPr>
          <w:rFonts w:asciiTheme="minorHAnsi" w:hAnsiTheme="minorHAnsi"/>
          <w:sz w:val="22"/>
          <w:szCs w:val="22"/>
        </w:rPr>
        <w:t>, 2017</w:t>
      </w:r>
      <w:r w:rsidR="004E77A8">
        <w:rPr>
          <w:rFonts w:asciiTheme="minorHAnsi" w:hAnsiTheme="minorHAnsi"/>
          <w:sz w:val="22"/>
          <w:szCs w:val="22"/>
        </w:rPr>
        <w:t xml:space="preserve"> </w:t>
      </w:r>
      <w:r w:rsidRPr="006D1D98">
        <w:rPr>
          <w:rFonts w:asciiTheme="minorHAnsi" w:hAnsiTheme="minorHAnsi"/>
          <w:sz w:val="22"/>
          <w:szCs w:val="22"/>
        </w:rPr>
        <w:t xml:space="preserve">effective date. </w:t>
      </w:r>
      <w:r w:rsidR="004E77A8">
        <w:rPr>
          <w:rFonts w:asciiTheme="minorHAnsi" w:hAnsiTheme="minorHAnsi"/>
          <w:sz w:val="22"/>
        </w:rPr>
        <w:t xml:space="preserve">OLS plans </w:t>
      </w:r>
      <w:r w:rsidR="006333FC">
        <w:rPr>
          <w:rFonts w:asciiTheme="minorHAnsi" w:hAnsiTheme="minorHAnsi"/>
          <w:sz w:val="22"/>
        </w:rPr>
        <w:t>a “Soft Lau</w:t>
      </w:r>
      <w:r w:rsidR="00817A56">
        <w:rPr>
          <w:rFonts w:asciiTheme="minorHAnsi" w:hAnsiTheme="minorHAnsi"/>
          <w:sz w:val="22"/>
        </w:rPr>
        <w:t>nch” for the Secure Scheduling O</w:t>
      </w:r>
      <w:r w:rsidR="006333FC">
        <w:rPr>
          <w:rFonts w:asciiTheme="minorHAnsi" w:hAnsiTheme="minorHAnsi"/>
          <w:sz w:val="22"/>
        </w:rPr>
        <w:t xml:space="preserve">rdinance </w:t>
      </w:r>
      <w:r w:rsidRPr="006D1D98">
        <w:rPr>
          <w:rFonts w:asciiTheme="minorHAnsi" w:hAnsiTheme="minorHAnsi"/>
          <w:sz w:val="22"/>
        </w:rPr>
        <w:t>from July 1 through December 31</w:t>
      </w:r>
      <w:r w:rsidR="006333FC">
        <w:rPr>
          <w:rFonts w:asciiTheme="minorHAnsi" w:hAnsiTheme="minorHAnsi"/>
          <w:sz w:val="22"/>
        </w:rPr>
        <w:t xml:space="preserve">, with a focus on </w:t>
      </w:r>
      <w:r w:rsidRPr="006D1D98">
        <w:rPr>
          <w:rFonts w:asciiTheme="minorHAnsi" w:hAnsiTheme="minorHAnsi"/>
          <w:sz w:val="22"/>
        </w:rPr>
        <w:t xml:space="preserve">education and support for employers. </w:t>
      </w:r>
      <w:r w:rsidR="00BC12CB">
        <w:rPr>
          <w:rFonts w:asciiTheme="minorHAnsi" w:hAnsiTheme="minorHAnsi"/>
          <w:sz w:val="22"/>
        </w:rPr>
        <w:t xml:space="preserve">During this initial </w:t>
      </w:r>
      <w:r w:rsidR="0063460C">
        <w:rPr>
          <w:rFonts w:asciiTheme="minorHAnsi" w:hAnsiTheme="minorHAnsi"/>
          <w:sz w:val="22"/>
        </w:rPr>
        <w:t>six</w:t>
      </w:r>
      <w:r w:rsidR="00BC12CB">
        <w:rPr>
          <w:rFonts w:asciiTheme="minorHAnsi" w:hAnsiTheme="minorHAnsi"/>
          <w:sz w:val="22"/>
        </w:rPr>
        <w:t xml:space="preserve">-month period, </w:t>
      </w:r>
      <w:r w:rsidR="006333FC">
        <w:rPr>
          <w:rFonts w:asciiTheme="minorHAnsi" w:hAnsiTheme="minorHAnsi"/>
          <w:sz w:val="22"/>
        </w:rPr>
        <w:t>OLS</w:t>
      </w:r>
      <w:r w:rsidRPr="006D1D98">
        <w:rPr>
          <w:rFonts w:asciiTheme="minorHAnsi" w:hAnsiTheme="minorHAnsi"/>
          <w:sz w:val="22"/>
        </w:rPr>
        <w:t xml:space="preserve"> will investigate </w:t>
      </w:r>
      <w:r w:rsidR="006333FC">
        <w:rPr>
          <w:rFonts w:asciiTheme="minorHAnsi" w:hAnsiTheme="minorHAnsi"/>
          <w:sz w:val="22"/>
        </w:rPr>
        <w:t xml:space="preserve">all </w:t>
      </w:r>
      <w:r w:rsidRPr="006D1D98">
        <w:rPr>
          <w:rFonts w:asciiTheme="minorHAnsi" w:hAnsiTheme="minorHAnsi"/>
          <w:sz w:val="22"/>
        </w:rPr>
        <w:t>complaints</w:t>
      </w:r>
      <w:r w:rsidR="006333FC">
        <w:rPr>
          <w:rFonts w:asciiTheme="minorHAnsi" w:hAnsiTheme="minorHAnsi"/>
          <w:sz w:val="22"/>
        </w:rPr>
        <w:t xml:space="preserve"> and obtain full remedies</w:t>
      </w:r>
      <w:r w:rsidRPr="006D1D98">
        <w:rPr>
          <w:rFonts w:asciiTheme="minorHAnsi" w:hAnsiTheme="minorHAnsi"/>
          <w:sz w:val="22"/>
        </w:rPr>
        <w:t xml:space="preserve"> for employees</w:t>
      </w:r>
      <w:r w:rsidR="006333FC">
        <w:rPr>
          <w:rFonts w:asciiTheme="minorHAnsi" w:hAnsiTheme="minorHAnsi"/>
          <w:sz w:val="22"/>
        </w:rPr>
        <w:t xml:space="preserve">, but will not impose penalties or </w:t>
      </w:r>
      <w:r w:rsidRPr="006D1D98">
        <w:rPr>
          <w:rFonts w:asciiTheme="minorHAnsi" w:hAnsiTheme="minorHAnsi"/>
          <w:sz w:val="22"/>
        </w:rPr>
        <w:t>fine</w:t>
      </w:r>
      <w:r w:rsidR="006333FC">
        <w:rPr>
          <w:rFonts w:asciiTheme="minorHAnsi" w:hAnsiTheme="minorHAnsi"/>
          <w:sz w:val="22"/>
        </w:rPr>
        <w:t>s</w:t>
      </w:r>
      <w:r w:rsidRPr="006D1D98">
        <w:rPr>
          <w:rFonts w:asciiTheme="minorHAnsi" w:hAnsiTheme="minorHAnsi"/>
          <w:sz w:val="22"/>
        </w:rPr>
        <w:t xml:space="preserve"> </w:t>
      </w:r>
      <w:r w:rsidR="005078A5">
        <w:rPr>
          <w:rFonts w:asciiTheme="minorHAnsi" w:hAnsiTheme="minorHAnsi"/>
          <w:sz w:val="22"/>
        </w:rPr>
        <w:t xml:space="preserve">on employers </w:t>
      </w:r>
      <w:r w:rsidR="003B3B73">
        <w:rPr>
          <w:rFonts w:asciiTheme="minorHAnsi" w:hAnsiTheme="minorHAnsi"/>
          <w:sz w:val="22"/>
        </w:rPr>
        <w:t>for violations that occur in 2017</w:t>
      </w:r>
      <w:r w:rsidRPr="006D1D98">
        <w:rPr>
          <w:rFonts w:asciiTheme="minorHAnsi" w:hAnsiTheme="minorHAnsi"/>
          <w:sz w:val="22"/>
        </w:rPr>
        <w:t xml:space="preserve">, unless </w:t>
      </w:r>
      <w:r w:rsidR="006333FC">
        <w:rPr>
          <w:rFonts w:asciiTheme="minorHAnsi" w:hAnsiTheme="minorHAnsi"/>
          <w:sz w:val="22"/>
        </w:rPr>
        <w:t>a</w:t>
      </w:r>
      <w:r w:rsidRPr="006D1D98">
        <w:rPr>
          <w:rFonts w:asciiTheme="minorHAnsi" w:hAnsiTheme="minorHAnsi"/>
          <w:sz w:val="22"/>
        </w:rPr>
        <w:t xml:space="preserve"> violation is egregiou</w:t>
      </w:r>
      <w:r w:rsidR="006333FC">
        <w:rPr>
          <w:rFonts w:asciiTheme="minorHAnsi" w:hAnsiTheme="minorHAnsi"/>
          <w:sz w:val="22"/>
        </w:rPr>
        <w:t>s.</w:t>
      </w:r>
    </w:p>
    <w:p w:rsidR="006D1D98" w:rsidRPr="00B059C1" w:rsidRDefault="006D1D98" w:rsidP="00B059C1">
      <w:pPr>
        <w:rPr>
          <w:rFonts w:asciiTheme="minorHAnsi" w:hAnsiTheme="minorHAnsi" w:cs="Arial"/>
          <w:sz w:val="22"/>
          <w:szCs w:val="22"/>
        </w:rPr>
      </w:pPr>
    </w:p>
    <w:p w:rsidR="005078A5" w:rsidRPr="00B059C1" w:rsidRDefault="005078A5" w:rsidP="005078A5">
      <w:pPr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To develop the</w:t>
      </w:r>
      <w:r w:rsidR="003B3B73">
        <w:rPr>
          <w:rFonts w:asciiTheme="minorHAnsi" w:hAnsiTheme="minorHAnsi" w:cs="Arial"/>
          <w:sz w:val="22"/>
          <w:szCs w:val="22"/>
        </w:rPr>
        <w:t>se</w:t>
      </w:r>
      <w:r w:rsidRPr="00B059C1">
        <w:rPr>
          <w:rFonts w:asciiTheme="minorHAnsi" w:hAnsiTheme="minorHAnsi" w:cs="Arial"/>
          <w:sz w:val="22"/>
          <w:szCs w:val="22"/>
        </w:rPr>
        <w:t xml:space="preserve"> rules, OLS held </w:t>
      </w:r>
      <w:r>
        <w:rPr>
          <w:rFonts w:asciiTheme="minorHAnsi" w:hAnsiTheme="minorHAnsi" w:cs="Arial"/>
          <w:sz w:val="22"/>
          <w:szCs w:val="22"/>
        </w:rPr>
        <w:t>nine</w:t>
      </w:r>
      <w:r w:rsidRPr="00B059C1">
        <w:rPr>
          <w:rFonts w:asciiTheme="minorHAnsi" w:hAnsiTheme="minorHAnsi" w:cs="Arial"/>
          <w:sz w:val="22"/>
          <w:szCs w:val="22"/>
        </w:rPr>
        <w:t xml:space="preserve"> </w:t>
      </w:r>
      <w:r w:rsidR="003B3B73">
        <w:rPr>
          <w:rFonts w:asciiTheme="minorHAnsi" w:hAnsiTheme="minorHAnsi" w:cs="Arial"/>
          <w:sz w:val="22"/>
          <w:szCs w:val="22"/>
        </w:rPr>
        <w:t>stakeholder</w:t>
      </w:r>
      <w:r w:rsidR="003B3B73" w:rsidRPr="00B059C1">
        <w:rPr>
          <w:rFonts w:asciiTheme="minorHAnsi" w:hAnsiTheme="minorHAnsi" w:cs="Arial"/>
          <w:sz w:val="22"/>
          <w:szCs w:val="22"/>
        </w:rPr>
        <w:t xml:space="preserve"> </w:t>
      </w:r>
      <w:r w:rsidRPr="00B059C1">
        <w:rPr>
          <w:rFonts w:asciiTheme="minorHAnsi" w:hAnsiTheme="minorHAnsi" w:cs="Arial"/>
          <w:sz w:val="22"/>
          <w:szCs w:val="22"/>
        </w:rPr>
        <w:t>meetings representing worker advocates and business representatives. In addition, the Labor Standards Advisory Commission played an important advisory role in the development of the rules.</w:t>
      </w:r>
      <w:r w:rsidR="00255702">
        <w:rPr>
          <w:rFonts w:asciiTheme="minorHAnsi" w:hAnsiTheme="minorHAnsi" w:cs="Arial"/>
          <w:sz w:val="22"/>
          <w:szCs w:val="22"/>
        </w:rPr>
        <w:t xml:space="preserve"> OLS received numerous comments prior to the official comment period.</w:t>
      </w:r>
      <w:r>
        <w:rPr>
          <w:rFonts w:asciiTheme="minorHAnsi" w:hAnsiTheme="minorHAnsi" w:cs="Arial"/>
          <w:sz w:val="22"/>
          <w:szCs w:val="22"/>
        </w:rPr>
        <w:t xml:space="preserve"> After the proposed rules were posted on March 10, OLS received seven formal comments from the public.</w:t>
      </w:r>
      <w:r w:rsidR="0025570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078A5" w:rsidRPr="00B059C1" w:rsidRDefault="005078A5" w:rsidP="005078A5">
      <w:pPr>
        <w:rPr>
          <w:rFonts w:asciiTheme="minorHAnsi" w:hAnsiTheme="minorHAnsi" w:cs="Arial"/>
          <w:sz w:val="22"/>
          <w:szCs w:val="22"/>
          <w:highlight w:val="yellow"/>
        </w:rPr>
      </w:pPr>
    </w:p>
    <w:p w:rsidR="005078A5" w:rsidRPr="00B059C1" w:rsidRDefault="005078A5" w:rsidP="005078A5">
      <w:pPr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“</w:t>
      </w:r>
      <w:r w:rsidR="003B3EC5">
        <w:rPr>
          <w:rFonts w:asciiTheme="minorHAnsi" w:hAnsiTheme="minorHAnsi" w:cs="Arial"/>
          <w:sz w:val="22"/>
          <w:szCs w:val="22"/>
        </w:rPr>
        <w:t>I want to express my appreciation</w:t>
      </w:r>
      <w:r>
        <w:rPr>
          <w:rFonts w:asciiTheme="minorHAnsi" w:hAnsiTheme="minorHAnsi" w:cs="Arial"/>
          <w:sz w:val="22"/>
          <w:szCs w:val="22"/>
        </w:rPr>
        <w:t xml:space="preserve"> again to all the</w:t>
      </w:r>
      <w:r w:rsidRPr="00B059C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employers, worker advocates and other stakeholders, as well as</w:t>
      </w:r>
      <w:r w:rsidRPr="00B059C1">
        <w:rPr>
          <w:rFonts w:asciiTheme="minorHAnsi" w:hAnsiTheme="minorHAnsi" w:cs="Arial"/>
          <w:sz w:val="22"/>
          <w:szCs w:val="22"/>
        </w:rPr>
        <w:t xml:space="preserve"> the Labor Standards Advisory Commission for the</w:t>
      </w:r>
      <w:r>
        <w:rPr>
          <w:rFonts w:asciiTheme="minorHAnsi" w:hAnsiTheme="minorHAnsi" w:cs="Arial"/>
          <w:sz w:val="22"/>
          <w:szCs w:val="22"/>
        </w:rPr>
        <w:t>ir work to review</w:t>
      </w:r>
      <w:r w:rsidRPr="00B059C1">
        <w:rPr>
          <w:rFonts w:asciiTheme="minorHAnsi" w:hAnsiTheme="minorHAnsi" w:cs="Arial"/>
          <w:sz w:val="22"/>
          <w:szCs w:val="22"/>
        </w:rPr>
        <w:t xml:space="preserve"> the </w:t>
      </w:r>
      <w:r w:rsidR="003B3EC5">
        <w:rPr>
          <w:rFonts w:asciiTheme="minorHAnsi" w:hAnsiTheme="minorHAnsi" w:cs="Arial"/>
          <w:sz w:val="22"/>
          <w:szCs w:val="22"/>
        </w:rPr>
        <w:t xml:space="preserve">Secure Scheduling </w:t>
      </w:r>
      <w:r w:rsidRPr="00B059C1">
        <w:rPr>
          <w:rFonts w:asciiTheme="minorHAnsi" w:hAnsiTheme="minorHAnsi" w:cs="Arial"/>
          <w:sz w:val="22"/>
          <w:szCs w:val="22"/>
        </w:rPr>
        <w:t xml:space="preserve">legislation and </w:t>
      </w:r>
      <w:r>
        <w:rPr>
          <w:rFonts w:asciiTheme="minorHAnsi" w:hAnsiTheme="minorHAnsi" w:cs="Arial"/>
          <w:sz w:val="22"/>
          <w:szCs w:val="22"/>
        </w:rPr>
        <w:t>propose workable rules</w:t>
      </w:r>
      <w:r w:rsidRPr="00B059C1">
        <w:rPr>
          <w:rFonts w:asciiTheme="minorHAnsi" w:hAnsiTheme="minorHAnsi" w:cs="Arial"/>
          <w:sz w:val="22"/>
          <w:szCs w:val="22"/>
        </w:rPr>
        <w:t>,” said Dylan Orr, Director of the Seattle Office of Labor Standards, which is responsible for enforcing the ordinance. “</w:t>
      </w:r>
      <w:r>
        <w:rPr>
          <w:rFonts w:asciiTheme="minorHAnsi" w:hAnsiTheme="minorHAnsi" w:cs="Arial"/>
          <w:sz w:val="22"/>
          <w:szCs w:val="22"/>
        </w:rPr>
        <w:t xml:space="preserve">This is a groundbreaking new law, and it was no easy task to develop a set of rules that reflects the many complexities of </w:t>
      </w:r>
      <w:r w:rsidR="003B3B73">
        <w:rPr>
          <w:rFonts w:asciiTheme="minorHAnsi" w:hAnsiTheme="minorHAnsi" w:cs="Arial"/>
          <w:sz w:val="22"/>
          <w:szCs w:val="22"/>
        </w:rPr>
        <w:t xml:space="preserve">Seattle </w:t>
      </w:r>
      <w:r w:rsidR="005F00B6">
        <w:rPr>
          <w:rFonts w:asciiTheme="minorHAnsi" w:hAnsiTheme="minorHAnsi" w:cs="Arial"/>
          <w:sz w:val="22"/>
          <w:szCs w:val="22"/>
        </w:rPr>
        <w:t>workplaces</w:t>
      </w:r>
      <w:r>
        <w:rPr>
          <w:rFonts w:asciiTheme="minorHAnsi" w:hAnsiTheme="minorHAnsi" w:cs="Arial"/>
          <w:sz w:val="22"/>
          <w:szCs w:val="22"/>
        </w:rPr>
        <w:t>. I deeply appreciate all the collaboration and compromise that went into this process.</w:t>
      </w:r>
      <w:r w:rsidRPr="00B059C1">
        <w:rPr>
          <w:rFonts w:asciiTheme="minorHAnsi" w:hAnsiTheme="minorHAnsi" w:cs="Arial"/>
          <w:sz w:val="22"/>
          <w:szCs w:val="22"/>
        </w:rPr>
        <w:t xml:space="preserve">” </w:t>
      </w:r>
    </w:p>
    <w:p w:rsidR="005078A5" w:rsidRDefault="005078A5" w:rsidP="005078A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AE16E1" w:rsidRDefault="00AE16E1" w:rsidP="00AE16E1">
      <w:pPr>
        <w:rPr>
          <w:rFonts w:asciiTheme="minorHAnsi" w:hAnsiTheme="minorHAnsi"/>
          <w:sz w:val="22"/>
          <w:szCs w:val="22"/>
        </w:rPr>
      </w:pPr>
      <w:r w:rsidRPr="00B059C1">
        <w:rPr>
          <w:rFonts w:asciiTheme="minorHAnsi" w:hAnsiTheme="minorHAnsi"/>
          <w:sz w:val="22"/>
          <w:szCs w:val="22"/>
        </w:rPr>
        <w:lastRenderedPageBreak/>
        <w:t xml:space="preserve">The </w:t>
      </w:r>
      <w:r>
        <w:rPr>
          <w:rFonts w:asciiTheme="minorHAnsi" w:hAnsiTheme="minorHAnsi"/>
          <w:sz w:val="22"/>
          <w:szCs w:val="22"/>
        </w:rPr>
        <w:t>final</w:t>
      </w:r>
      <w:r w:rsidRPr="00B059C1">
        <w:rPr>
          <w:rFonts w:asciiTheme="minorHAnsi" w:hAnsiTheme="minorHAnsi"/>
          <w:sz w:val="22"/>
          <w:szCs w:val="22"/>
        </w:rPr>
        <w:t xml:space="preserve"> Administrative Rules </w:t>
      </w:r>
      <w:r w:rsidRPr="00B059C1">
        <w:rPr>
          <w:rFonts w:asciiTheme="minorHAnsi" w:hAnsiTheme="minorHAnsi" w:cs="Arial"/>
          <w:sz w:val="22"/>
          <w:szCs w:val="22"/>
        </w:rPr>
        <w:t xml:space="preserve">clarify </w:t>
      </w:r>
      <w:r>
        <w:rPr>
          <w:rFonts w:asciiTheme="minorHAnsi" w:hAnsiTheme="minorHAnsi" w:cs="Arial"/>
          <w:sz w:val="22"/>
          <w:szCs w:val="22"/>
        </w:rPr>
        <w:t>numerous</w:t>
      </w:r>
      <w:r w:rsidRPr="00B059C1">
        <w:rPr>
          <w:rFonts w:asciiTheme="minorHAnsi" w:hAnsiTheme="minorHAnsi" w:cs="Arial"/>
          <w:sz w:val="22"/>
          <w:szCs w:val="22"/>
        </w:rPr>
        <w:t xml:space="preserve"> issues raised </w:t>
      </w:r>
      <w:r>
        <w:rPr>
          <w:rFonts w:asciiTheme="minorHAnsi" w:hAnsiTheme="minorHAnsi" w:cs="Arial"/>
          <w:sz w:val="22"/>
          <w:szCs w:val="22"/>
        </w:rPr>
        <w:t xml:space="preserve">by stakeholders about </w:t>
      </w:r>
      <w:r w:rsidRPr="00B059C1">
        <w:rPr>
          <w:rFonts w:asciiTheme="minorHAnsi" w:hAnsiTheme="minorHAnsi" w:cs="Arial"/>
          <w:sz w:val="22"/>
          <w:szCs w:val="22"/>
        </w:rPr>
        <w:t>the Secure Scheduling Ordinance</w:t>
      </w:r>
      <w:r w:rsidR="005F00B6">
        <w:rPr>
          <w:rFonts w:asciiTheme="minorHAnsi" w:hAnsiTheme="minorHAnsi" w:cs="Arial"/>
          <w:sz w:val="22"/>
          <w:szCs w:val="22"/>
        </w:rPr>
        <w:t xml:space="preserve">. </w:t>
      </w:r>
      <w:r w:rsidR="00F728D6">
        <w:rPr>
          <w:rFonts w:asciiTheme="minorHAnsi" w:hAnsiTheme="minorHAnsi" w:cs="Arial"/>
          <w:sz w:val="22"/>
          <w:szCs w:val="22"/>
        </w:rPr>
        <w:t xml:space="preserve">Specifically, the Rules </w:t>
      </w:r>
      <w:r w:rsidR="00F728D6">
        <w:rPr>
          <w:rFonts w:asciiTheme="minorHAnsi" w:hAnsiTheme="minorHAnsi"/>
          <w:sz w:val="22"/>
          <w:szCs w:val="22"/>
        </w:rPr>
        <w:t>clarify the following ordinance provisions</w:t>
      </w:r>
      <w:r w:rsidR="00021B3A">
        <w:rPr>
          <w:rFonts w:asciiTheme="minorHAnsi" w:hAnsiTheme="minorHAnsi"/>
          <w:sz w:val="22"/>
          <w:szCs w:val="22"/>
        </w:rPr>
        <w:t>:</w:t>
      </w:r>
    </w:p>
    <w:p w:rsidR="00F728D6" w:rsidRPr="00AE16E1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AE16E1">
        <w:rPr>
          <w:rFonts w:asciiTheme="minorHAnsi" w:hAnsiTheme="minorHAnsi"/>
          <w:sz w:val="22"/>
          <w:szCs w:val="22"/>
        </w:rPr>
        <w:t>Bona fide business reason for declining an employee’s request for a work schedule preference.</w:t>
      </w:r>
    </w:p>
    <w:p w:rsidR="00F728D6" w:rsidRP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Employee’s other job or jobs</w:t>
      </w:r>
      <w:r w:rsidR="00D875DF">
        <w:rPr>
          <w:rFonts w:asciiTheme="minorHAnsi" w:hAnsiTheme="minorHAnsi"/>
          <w:sz w:val="22"/>
          <w:szCs w:val="22"/>
        </w:rPr>
        <w:t>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AE16E1">
        <w:rPr>
          <w:rFonts w:asciiTheme="minorHAnsi" w:hAnsiTheme="minorHAnsi"/>
          <w:sz w:val="22"/>
          <w:szCs w:val="22"/>
        </w:rPr>
        <w:t>mployee coverage.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Fixed, point of sale location.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Joint </w:t>
      </w:r>
      <w:r w:rsidR="005F00B6">
        <w:rPr>
          <w:rFonts w:asciiTheme="minorHAnsi" w:hAnsiTheme="minorHAnsi"/>
          <w:sz w:val="22"/>
          <w:szCs w:val="22"/>
        </w:rPr>
        <w:t>employment</w:t>
      </w:r>
      <w:r>
        <w:rPr>
          <w:rFonts w:asciiTheme="minorHAnsi" w:hAnsiTheme="minorHAnsi"/>
          <w:sz w:val="22"/>
          <w:szCs w:val="22"/>
        </w:rPr>
        <w:t>.</w:t>
      </w:r>
    </w:p>
    <w:p w:rsidR="00AE16E1" w:rsidRDefault="00AE16E1" w:rsidP="00AE16E1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</w:t>
      </w:r>
      <w:r w:rsidR="005078A5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d faith estimate.</w:t>
      </w:r>
    </w:p>
    <w:p w:rsidR="00AE16E1" w:rsidRDefault="00AE16E1" w:rsidP="00AE16E1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Interactive process.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Scope of the right to request input into the work schedule.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Scope of notice of work schedule changes.</w:t>
      </w:r>
    </w:p>
    <w:p w:rsidR="00F728D6" w:rsidRPr="00AE16E1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Granting or denying employee-requested work schedule changes.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AE16E1">
        <w:rPr>
          <w:rFonts w:asciiTheme="minorHAnsi" w:hAnsiTheme="minorHAnsi"/>
          <w:sz w:val="22"/>
          <w:szCs w:val="22"/>
        </w:rPr>
        <w:t>Exceptions to compensation for work schedule changes.</w:t>
      </w:r>
    </w:p>
    <w:p w:rsidR="003C4354" w:rsidRPr="003C4354" w:rsidRDefault="003C4354" w:rsidP="003C4354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Grace period for compensation for work schedule changes.</w:t>
      </w:r>
    </w:p>
    <w:p w:rsidR="00F728D6" w:rsidRDefault="00F728D6" w:rsidP="00F728D6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Exceptions to access to hours for designated hiring programs.</w:t>
      </w:r>
    </w:p>
    <w:p w:rsidR="00AE16E1" w:rsidRDefault="003C4354" w:rsidP="003C4354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3C4354">
        <w:rPr>
          <w:rFonts w:asciiTheme="minorHAnsi" w:hAnsiTheme="minorHAnsi"/>
          <w:sz w:val="22"/>
          <w:szCs w:val="22"/>
        </w:rPr>
        <w:t xml:space="preserve">Individual notice of </w:t>
      </w:r>
      <w:r>
        <w:rPr>
          <w:rFonts w:asciiTheme="minorHAnsi" w:hAnsiTheme="minorHAnsi"/>
          <w:sz w:val="22"/>
          <w:szCs w:val="22"/>
        </w:rPr>
        <w:t>rights (i.e. workplace poster).</w:t>
      </w:r>
    </w:p>
    <w:p w:rsidR="00AE16E1" w:rsidRPr="00AE16E1" w:rsidRDefault="00AE16E1" w:rsidP="00AE16E1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Translations.</w:t>
      </w:r>
    </w:p>
    <w:p w:rsidR="00AE16E1" w:rsidRPr="00AE16E1" w:rsidRDefault="00AE16E1" w:rsidP="00AE16E1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AE16E1">
        <w:rPr>
          <w:rFonts w:asciiTheme="minorHAnsi" w:hAnsiTheme="minorHAnsi"/>
          <w:sz w:val="22"/>
          <w:szCs w:val="22"/>
        </w:rPr>
        <w:t>Retaliation</w:t>
      </w:r>
      <w:r w:rsidR="00255702">
        <w:rPr>
          <w:rFonts w:asciiTheme="minorHAnsi" w:hAnsiTheme="minorHAnsi"/>
          <w:sz w:val="22"/>
          <w:szCs w:val="22"/>
        </w:rPr>
        <w:t xml:space="preserve"> and discipline.</w:t>
      </w:r>
    </w:p>
    <w:p w:rsidR="003B3EC5" w:rsidRPr="00B059C1" w:rsidRDefault="003B3EC5" w:rsidP="00AE16E1">
      <w:pPr>
        <w:rPr>
          <w:rFonts w:asciiTheme="minorHAnsi" w:hAnsiTheme="minorHAnsi" w:cs="Arial"/>
          <w:sz w:val="22"/>
          <w:szCs w:val="22"/>
        </w:rPr>
      </w:pPr>
    </w:p>
    <w:p w:rsidR="00F87D74" w:rsidRPr="00F87D74" w:rsidRDefault="00F87D74" w:rsidP="00B059C1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Secure Scheduling Ordinance: </w:t>
      </w:r>
      <w:r w:rsidRPr="00F87D74">
        <w:rPr>
          <w:rFonts w:asciiTheme="minorHAnsi" w:hAnsiTheme="minorHAnsi" w:cs="Arial"/>
          <w:b/>
          <w:sz w:val="22"/>
          <w:szCs w:val="22"/>
        </w:rPr>
        <w:t>increase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F87D74">
        <w:rPr>
          <w:rFonts w:asciiTheme="minorHAnsi" w:hAnsiTheme="minorHAnsi" w:cs="Arial"/>
          <w:b/>
          <w:sz w:val="22"/>
          <w:szCs w:val="22"/>
        </w:rPr>
        <w:t xml:space="preserve"> stability </w:t>
      </w:r>
      <w:r>
        <w:rPr>
          <w:rFonts w:asciiTheme="minorHAnsi" w:hAnsiTheme="minorHAnsi" w:cs="Arial"/>
          <w:b/>
          <w:sz w:val="22"/>
          <w:szCs w:val="22"/>
        </w:rPr>
        <w:t>for</w:t>
      </w:r>
      <w:r w:rsidR="006D1D98">
        <w:rPr>
          <w:rFonts w:asciiTheme="minorHAnsi" w:hAnsiTheme="minorHAnsi" w:cs="Arial"/>
          <w:b/>
          <w:sz w:val="22"/>
          <w:szCs w:val="22"/>
        </w:rPr>
        <w:t xml:space="preserve"> hourly employees in large food service</w:t>
      </w:r>
      <w:r w:rsidR="001A5221">
        <w:rPr>
          <w:rFonts w:asciiTheme="minorHAnsi" w:hAnsiTheme="minorHAnsi" w:cs="Arial"/>
          <w:b/>
          <w:sz w:val="22"/>
          <w:szCs w:val="22"/>
        </w:rPr>
        <w:t>s</w:t>
      </w:r>
      <w:r w:rsidR="006D1D98">
        <w:rPr>
          <w:rFonts w:asciiTheme="minorHAnsi" w:hAnsiTheme="minorHAnsi" w:cs="Arial"/>
          <w:b/>
          <w:sz w:val="22"/>
          <w:szCs w:val="22"/>
        </w:rPr>
        <w:t xml:space="preserve"> and retail establishments</w:t>
      </w:r>
      <w:r w:rsidRPr="00F87D7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87D74" w:rsidRPr="00B059C1" w:rsidRDefault="00F87D74" w:rsidP="00B059C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D9086B" w:rsidRDefault="00D9086B" w:rsidP="00D9086B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Seattle’s Secure Scheduling Ordin</w:t>
      </w:r>
      <w:r w:rsidR="007E4CB9">
        <w:rPr>
          <w:rFonts w:asciiTheme="minorHAnsi" w:hAnsiTheme="minorHAnsi" w:cs="Arial"/>
          <w:sz w:val="22"/>
          <w:szCs w:val="22"/>
        </w:rPr>
        <w:t xml:space="preserve">ance applies to retail and </w:t>
      </w:r>
      <w:r w:rsidRPr="00B059C1">
        <w:rPr>
          <w:rFonts w:asciiTheme="minorHAnsi" w:hAnsiTheme="minorHAnsi" w:cs="Arial"/>
          <w:sz w:val="22"/>
          <w:szCs w:val="22"/>
        </w:rPr>
        <w:t>food</w:t>
      </w:r>
      <w:r w:rsidR="007E4CB9">
        <w:rPr>
          <w:rFonts w:asciiTheme="minorHAnsi" w:hAnsiTheme="minorHAnsi" w:cs="Arial"/>
          <w:sz w:val="22"/>
          <w:szCs w:val="22"/>
        </w:rPr>
        <w:t xml:space="preserve"> service</w:t>
      </w:r>
      <w:r w:rsidRPr="00B059C1">
        <w:rPr>
          <w:rFonts w:asciiTheme="minorHAnsi" w:hAnsiTheme="minorHAnsi" w:cs="Arial"/>
          <w:sz w:val="22"/>
          <w:szCs w:val="22"/>
        </w:rPr>
        <w:t xml:space="preserve"> </w:t>
      </w:r>
      <w:r w:rsidR="007E4CB9" w:rsidRPr="007E4CB9">
        <w:rPr>
          <w:rFonts w:asciiTheme="minorHAnsi" w:hAnsiTheme="minorHAnsi" w:cs="Arial"/>
          <w:sz w:val="22"/>
          <w:szCs w:val="22"/>
        </w:rPr>
        <w:t>establishments</w:t>
      </w:r>
      <w:r w:rsidRPr="00B059C1">
        <w:rPr>
          <w:rFonts w:asciiTheme="minorHAnsi" w:hAnsiTheme="minorHAnsi" w:cs="Arial"/>
          <w:sz w:val="22"/>
          <w:szCs w:val="22"/>
        </w:rPr>
        <w:t xml:space="preserve"> with 500+ employees worldwide, as well as full service restaurants with 500+ employees and 40+ full-service restaurant locations worldwide. </w:t>
      </w:r>
    </w:p>
    <w:p w:rsidR="00D9086B" w:rsidRPr="00B059C1" w:rsidRDefault="00D9086B" w:rsidP="00D9086B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B059C1" w:rsidRPr="00B059C1" w:rsidRDefault="00B059C1" w:rsidP="00B059C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 xml:space="preserve">The </w:t>
      </w:r>
      <w:r w:rsidR="00D9086B">
        <w:rPr>
          <w:rFonts w:asciiTheme="minorHAnsi" w:hAnsiTheme="minorHAnsi" w:cs="Arial"/>
          <w:sz w:val="22"/>
          <w:szCs w:val="22"/>
        </w:rPr>
        <w:t>o</w:t>
      </w:r>
      <w:r w:rsidRPr="00B059C1">
        <w:rPr>
          <w:rFonts w:asciiTheme="minorHAnsi" w:hAnsiTheme="minorHAnsi" w:cs="Arial"/>
          <w:sz w:val="22"/>
          <w:szCs w:val="22"/>
        </w:rPr>
        <w:t xml:space="preserve">rdinance aims to increase </w:t>
      </w:r>
      <w:r w:rsidR="001A5221">
        <w:rPr>
          <w:rFonts w:asciiTheme="minorHAnsi" w:hAnsiTheme="minorHAnsi" w:cs="Arial"/>
          <w:sz w:val="22"/>
          <w:szCs w:val="22"/>
        </w:rPr>
        <w:t>the stability and predictability of work for hourly employee</w:t>
      </w:r>
      <w:r w:rsidR="00785C63">
        <w:rPr>
          <w:rFonts w:asciiTheme="minorHAnsi" w:hAnsiTheme="minorHAnsi" w:cs="Arial"/>
          <w:sz w:val="22"/>
          <w:szCs w:val="22"/>
        </w:rPr>
        <w:t>s</w:t>
      </w:r>
      <w:r w:rsidR="001A5221">
        <w:rPr>
          <w:rFonts w:asciiTheme="minorHAnsi" w:hAnsiTheme="minorHAnsi" w:cs="Arial"/>
          <w:sz w:val="22"/>
          <w:szCs w:val="22"/>
        </w:rPr>
        <w:t xml:space="preserve"> who work in large food service and retail establishments</w:t>
      </w:r>
      <w:r w:rsidRPr="00B059C1">
        <w:rPr>
          <w:rFonts w:asciiTheme="minorHAnsi" w:hAnsiTheme="minorHAnsi" w:cs="Arial"/>
          <w:sz w:val="22"/>
          <w:szCs w:val="22"/>
        </w:rPr>
        <w:t xml:space="preserve">. Further, the ordinance intends to </w:t>
      </w:r>
      <w:r w:rsidRPr="00B059C1">
        <w:rPr>
          <w:rFonts w:asciiTheme="minorHAnsi" w:hAnsiTheme="minorHAnsi"/>
          <w:sz w:val="22"/>
          <w:szCs w:val="22"/>
        </w:rPr>
        <w:t xml:space="preserve">help workers balance their other commitments, like caring for a family member, </w:t>
      </w:r>
      <w:r w:rsidR="00785C63">
        <w:rPr>
          <w:rFonts w:asciiTheme="minorHAnsi" w:hAnsiTheme="minorHAnsi"/>
          <w:sz w:val="22"/>
          <w:szCs w:val="22"/>
        </w:rPr>
        <w:t xml:space="preserve">or </w:t>
      </w:r>
      <w:r w:rsidRPr="00B059C1">
        <w:rPr>
          <w:rFonts w:asciiTheme="minorHAnsi" w:hAnsiTheme="minorHAnsi"/>
          <w:sz w:val="22"/>
          <w:szCs w:val="22"/>
        </w:rPr>
        <w:t xml:space="preserve">working another job </w:t>
      </w:r>
      <w:r w:rsidR="007530B5">
        <w:rPr>
          <w:rFonts w:asciiTheme="minorHAnsi" w:hAnsiTheme="minorHAnsi"/>
          <w:sz w:val="22"/>
          <w:szCs w:val="22"/>
        </w:rPr>
        <w:t>or</w:t>
      </w:r>
      <w:r w:rsidRPr="00B059C1">
        <w:rPr>
          <w:rFonts w:asciiTheme="minorHAnsi" w:hAnsiTheme="minorHAnsi"/>
          <w:sz w:val="22"/>
          <w:szCs w:val="22"/>
        </w:rPr>
        <w:t xml:space="preserve"> attending school, by providing employees the right to request input into their written work schedule. Finally, the ordinance creates opportunities for existing part-time employees to take on additional hours.</w:t>
      </w:r>
      <w:bookmarkStart w:id="0" w:name="_GoBack"/>
      <w:bookmarkEnd w:id="0"/>
    </w:p>
    <w:p w:rsidR="00B059C1" w:rsidRPr="00B059C1" w:rsidRDefault="00B059C1" w:rsidP="00B059C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B059C1" w:rsidRPr="00B059C1" w:rsidRDefault="00B059C1" w:rsidP="00B059C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Key provisions of the Secure Scheduling Ordinance include: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Good Faith Estimate: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Upon hire, employers must provide a written good faith estimate of the median hours an employee can expect to work, including on-call shifts.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Right to Request: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Employees may request schedule preferences to balance their other commitments, like caring for a family member, working another job and attending school. Employers must engage in an interactive process with employees to discuss these requests, and must grant a request related to a major life event unless there is a bona fide business reason.</w:t>
      </w:r>
    </w:p>
    <w:p w:rsidR="001A522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Advance Notice: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Employers must post employees' work schedules 14 days in advance. </w:t>
      </w:r>
    </w:p>
    <w:p w:rsidR="00B059C1" w:rsidRPr="00B059C1" w:rsidRDefault="001A522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lastRenderedPageBreak/>
        <w:t>Compensation for Work Schedule Changes:</w:t>
      </w:r>
      <w:r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</w:t>
      </w:r>
      <w:r w:rsidR="00B059C1"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>If an employer adds hours to or subtracts hours from the employee’s schedule after it is posted, the employer must pay the employee additional compensation (i.e. premium pay)</w:t>
      </w:r>
      <w:r w:rsidR="0086333C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–</w:t>
      </w:r>
      <w:r w:rsidR="0086333C">
        <w:rPr>
          <w:rFonts w:asciiTheme="minorHAnsi" w:hAnsiTheme="minorHAnsi" w:cs="Arial"/>
          <w:sz w:val="22"/>
          <w:szCs w:val="22"/>
        </w:rPr>
        <w:t xml:space="preserve"> one hour of premium pay if an employer </w:t>
      </w:r>
      <w:r w:rsidR="0086333C"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adds hours </w:t>
      </w:r>
      <w:r w:rsidR="0086333C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to an employee’s schedule and </w:t>
      </w:r>
      <w:r w:rsidR="0086333C" w:rsidRPr="0065548B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one-half times </w:t>
      </w:r>
      <w:r w:rsidR="0086333C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the employee’s hourly wage for each hour subtracted from the employee’s schedule – </w:t>
      </w:r>
      <w:r w:rsidR="00B059C1"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>with some exceptions.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Right to Rest: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If the rest period between a closing and opening shift (i.e. </w:t>
      </w:r>
      <w:proofErr w:type="spellStart"/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>clopening</w:t>
      </w:r>
      <w:proofErr w:type="spellEnd"/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>) is less than 10 hours, the employer must pay the employee time-and-a-half for the difference.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Access to Hours: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Employers must offer additional hours of work to qualified existing employees before hiring external employees.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>Record-Keeping Requirements: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 xml:space="preserve"> Employers must keep records for three years to show compliance.</w:t>
      </w:r>
    </w:p>
    <w:p w:rsidR="00B059C1" w:rsidRPr="00B059C1" w:rsidRDefault="00B059C1" w:rsidP="00B059C1">
      <w:pPr>
        <w:numPr>
          <w:ilvl w:val="0"/>
          <w:numId w:val="23"/>
        </w:numPr>
        <w:rPr>
          <w:rFonts w:asciiTheme="minorHAnsi" w:hAnsiTheme="minorHAnsi" w:cs="Open Sans"/>
          <w:color w:val="333333"/>
          <w:sz w:val="22"/>
          <w:szCs w:val="22"/>
          <w:lang w:val="en"/>
        </w:rPr>
      </w:pPr>
      <w:r w:rsidRPr="00B059C1">
        <w:rPr>
          <w:rFonts w:asciiTheme="minorHAnsi" w:hAnsiTheme="minorHAnsi" w:cs="Open Sans"/>
          <w:b/>
          <w:bCs/>
          <w:color w:val="333333"/>
          <w:sz w:val="22"/>
          <w:szCs w:val="22"/>
          <w:lang w:val="en"/>
        </w:rPr>
        <w:t xml:space="preserve">Protection from Retaliation: </w:t>
      </w:r>
      <w:r w:rsidRPr="00B059C1">
        <w:rPr>
          <w:rFonts w:asciiTheme="minorHAnsi" w:hAnsiTheme="minorHAnsi" w:cs="Open Sans"/>
          <w:color w:val="333333"/>
          <w:sz w:val="22"/>
          <w:szCs w:val="22"/>
          <w:lang w:val="en"/>
        </w:rPr>
        <w:t>Employees have the right to decline any hours not on the originally posted schedule.</w:t>
      </w:r>
    </w:p>
    <w:p w:rsidR="005F72AF" w:rsidRDefault="005F72AF" w:rsidP="005F72AF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5F72AF" w:rsidRDefault="005F72AF" w:rsidP="005F72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For more information</w:t>
      </w:r>
      <w:r>
        <w:rPr>
          <w:rFonts w:asciiTheme="minorHAnsi" w:hAnsiTheme="minorHAnsi" w:cs="Arial"/>
          <w:sz w:val="22"/>
          <w:szCs w:val="22"/>
        </w:rPr>
        <w:t xml:space="preserve"> about Secure Scheduling</w:t>
      </w:r>
      <w:r w:rsidRPr="00B059C1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call 206-684-4500 or </w:t>
      </w:r>
      <w:r w:rsidRPr="00B059C1">
        <w:rPr>
          <w:rFonts w:asciiTheme="minorHAnsi" w:hAnsiTheme="minorHAnsi" w:cs="Arial"/>
          <w:sz w:val="22"/>
          <w:szCs w:val="22"/>
        </w:rPr>
        <w:t xml:space="preserve">visit </w:t>
      </w:r>
      <w:hyperlink r:id="rId11" w:history="1">
        <w:r w:rsidRPr="00AB5CB2">
          <w:rPr>
            <w:rStyle w:val="Hyperlink"/>
            <w:rFonts w:asciiTheme="minorHAnsi" w:eastAsiaTheme="majorEastAsia" w:hAnsiTheme="minorHAnsi"/>
            <w:sz w:val="22"/>
            <w:szCs w:val="22"/>
          </w:rPr>
          <w:t>http://www.seattle.gov/laborstandards/ordinances/secure-scheduling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935BC5" w:rsidRPr="00935BC5" w:rsidRDefault="00935BC5" w:rsidP="005F72AF">
      <w:pPr>
        <w:pStyle w:val="NormalWeb"/>
        <w:spacing w:before="0" w:beforeAutospacing="0" w:after="0" w:afterAutospacing="0"/>
        <w:rPr>
          <w:rFonts w:asciiTheme="minorHAnsi" w:hAnsiTheme="minorHAnsi" w:cs="Arial"/>
          <w:sz w:val="12"/>
          <w:szCs w:val="22"/>
        </w:rPr>
      </w:pPr>
    </w:p>
    <w:p w:rsidR="005F72AF" w:rsidRDefault="005F72AF" w:rsidP="005F72A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81190">
        <w:rPr>
          <w:rFonts w:asciiTheme="minorHAnsi" w:hAnsiTheme="minorHAnsi" w:cs="Arial"/>
          <w:b/>
          <w:sz w:val="22"/>
          <w:szCs w:val="22"/>
        </w:rPr>
        <w:t>Help for employers</w:t>
      </w:r>
      <w:r>
        <w:rPr>
          <w:rFonts w:asciiTheme="minorHAnsi" w:hAnsiTheme="minorHAnsi" w:cs="Arial"/>
          <w:sz w:val="22"/>
          <w:szCs w:val="22"/>
        </w:rPr>
        <w:t>: For free individual assista</w:t>
      </w:r>
      <w:r w:rsidR="005F00B6">
        <w:rPr>
          <w:rFonts w:asciiTheme="minorHAnsi" w:hAnsiTheme="minorHAnsi" w:cs="Arial"/>
          <w:sz w:val="22"/>
          <w:szCs w:val="22"/>
        </w:rPr>
        <w:t>nce with the Secure Scheduling O</w:t>
      </w:r>
      <w:r>
        <w:rPr>
          <w:rFonts w:asciiTheme="minorHAnsi" w:hAnsiTheme="minorHAnsi" w:cs="Arial"/>
          <w:sz w:val="22"/>
          <w:szCs w:val="22"/>
        </w:rPr>
        <w:t xml:space="preserve">rdinance or any other </w:t>
      </w:r>
      <w:r w:rsidRPr="00B81190">
        <w:rPr>
          <w:rFonts w:asciiTheme="minorHAnsi" w:hAnsiTheme="minorHAnsi" w:cs="Arial"/>
          <w:sz w:val="22"/>
          <w:szCs w:val="22"/>
        </w:rPr>
        <w:t>City of Seattle</w:t>
      </w:r>
      <w:r>
        <w:rPr>
          <w:rFonts w:asciiTheme="minorHAnsi" w:hAnsiTheme="minorHAnsi" w:cs="Arial"/>
          <w:sz w:val="22"/>
          <w:szCs w:val="22"/>
        </w:rPr>
        <w:t xml:space="preserve"> labor standards laws, call 206-684-4500 or email </w:t>
      </w:r>
      <w:hyperlink r:id="rId12" w:history="1">
        <w:r w:rsidRPr="00AB5CB2">
          <w:rPr>
            <w:rStyle w:val="Hyperlink"/>
            <w:rFonts w:asciiTheme="minorHAnsi" w:hAnsiTheme="minorHAnsi" w:cs="Arial"/>
            <w:sz w:val="22"/>
            <w:szCs w:val="22"/>
          </w:rPr>
          <w:t>laborstandards@seattle.gov</w:t>
        </w:r>
      </w:hyperlink>
      <w:r>
        <w:rPr>
          <w:rFonts w:asciiTheme="minorHAnsi" w:hAnsiTheme="minorHAnsi" w:cs="Arial"/>
          <w:sz w:val="22"/>
          <w:szCs w:val="22"/>
        </w:rPr>
        <w:t>.</w:t>
      </w:r>
    </w:p>
    <w:p w:rsidR="00935BC5" w:rsidRPr="00935BC5" w:rsidRDefault="00935BC5" w:rsidP="00935BC5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  <w:sz w:val="12"/>
          <w:szCs w:val="22"/>
        </w:rPr>
      </w:pPr>
    </w:p>
    <w:p w:rsidR="005F72AF" w:rsidRDefault="005F72AF" w:rsidP="005F72A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81190">
        <w:rPr>
          <w:rFonts w:asciiTheme="minorHAnsi" w:hAnsiTheme="minorHAnsi" w:cs="Arial"/>
          <w:b/>
          <w:sz w:val="22"/>
          <w:szCs w:val="22"/>
        </w:rPr>
        <w:t>Help for workers</w:t>
      </w:r>
      <w:r>
        <w:rPr>
          <w:rFonts w:asciiTheme="minorHAnsi" w:hAnsiTheme="minorHAnsi" w:cs="Arial"/>
          <w:sz w:val="22"/>
          <w:szCs w:val="22"/>
        </w:rPr>
        <w:t xml:space="preserve">: To ask a question or file a complaint, call 206-684-4500, visit the Office of Labor Standards in downtown Seattle at 810 Third Ave. Suite 350, or </w:t>
      </w:r>
      <w:hyperlink r:id="rId13" w:history="1">
        <w:r w:rsidRPr="00B81190">
          <w:rPr>
            <w:rStyle w:val="Hyperlink"/>
            <w:rFonts w:asciiTheme="minorHAnsi" w:hAnsiTheme="minorHAnsi" w:cs="Arial"/>
            <w:sz w:val="22"/>
            <w:szCs w:val="22"/>
          </w:rPr>
          <w:t>click here to fill out a web form</w:t>
        </w:r>
      </w:hyperlink>
      <w:r>
        <w:rPr>
          <w:rFonts w:asciiTheme="minorHAnsi" w:hAnsiTheme="minorHAnsi" w:cs="Arial"/>
          <w:sz w:val="22"/>
          <w:szCs w:val="22"/>
        </w:rPr>
        <w:t>.</w:t>
      </w:r>
    </w:p>
    <w:p w:rsidR="00935BC5" w:rsidRPr="00935BC5" w:rsidRDefault="00935BC5" w:rsidP="00935BC5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  <w:sz w:val="12"/>
          <w:szCs w:val="22"/>
        </w:rPr>
      </w:pPr>
    </w:p>
    <w:p w:rsidR="00B059C1" w:rsidRDefault="005F72AF" w:rsidP="00884071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84071">
        <w:rPr>
          <w:rFonts w:asciiTheme="minorHAnsi" w:hAnsiTheme="minorHAnsi" w:cs="Arial"/>
          <w:b/>
          <w:sz w:val="22"/>
          <w:szCs w:val="22"/>
        </w:rPr>
        <w:t>To schedule training</w:t>
      </w:r>
      <w:r w:rsidRPr="00884071">
        <w:rPr>
          <w:rFonts w:asciiTheme="minorHAnsi" w:hAnsiTheme="minorHAnsi" w:cs="Arial"/>
          <w:sz w:val="22"/>
          <w:szCs w:val="22"/>
        </w:rPr>
        <w:t xml:space="preserve">: </w:t>
      </w:r>
      <w:r w:rsidRPr="00884071">
        <w:rPr>
          <w:rFonts w:asciiTheme="minorHAnsi" w:hAnsiTheme="minorHAnsi"/>
          <w:sz w:val="22"/>
          <w:szCs w:val="22"/>
        </w:rPr>
        <w:t xml:space="preserve">Contact </w:t>
      </w:r>
      <w:r w:rsidR="00487D3E" w:rsidRPr="00884071">
        <w:rPr>
          <w:rFonts w:asciiTheme="minorHAnsi" w:hAnsiTheme="minorHAnsi"/>
          <w:sz w:val="22"/>
          <w:szCs w:val="22"/>
        </w:rPr>
        <w:t>Karina Bull</w:t>
      </w:r>
      <w:r w:rsidRPr="00884071">
        <w:rPr>
          <w:rFonts w:asciiTheme="minorHAnsi" w:hAnsiTheme="minorHAnsi"/>
          <w:sz w:val="22"/>
          <w:szCs w:val="22"/>
        </w:rPr>
        <w:t xml:space="preserve"> at </w:t>
      </w:r>
      <w:r w:rsidR="00884071">
        <w:rPr>
          <w:rFonts w:asciiTheme="minorHAnsi" w:hAnsiTheme="minorHAnsi"/>
          <w:sz w:val="22"/>
          <w:szCs w:val="22"/>
        </w:rPr>
        <w:t>206-684-4536</w:t>
      </w:r>
      <w:r w:rsidRPr="00884071">
        <w:rPr>
          <w:rFonts w:asciiTheme="minorHAnsi" w:hAnsiTheme="minorHAnsi"/>
          <w:sz w:val="22"/>
          <w:szCs w:val="22"/>
        </w:rPr>
        <w:t xml:space="preserve"> or </w:t>
      </w:r>
      <w:hyperlink r:id="rId14" w:history="1">
        <w:r w:rsidR="00487D3E" w:rsidRPr="00AC7125">
          <w:rPr>
            <w:rStyle w:val="Hyperlink"/>
            <w:rFonts w:asciiTheme="minorHAnsi" w:hAnsiTheme="minorHAnsi"/>
            <w:sz w:val="22"/>
            <w:szCs w:val="22"/>
          </w:rPr>
          <w:t>karina.bull@seattle.gov</w:t>
        </w:r>
      </w:hyperlink>
      <w:r w:rsidR="00487D3E">
        <w:rPr>
          <w:rFonts w:asciiTheme="minorHAnsi" w:hAnsiTheme="minorHAnsi"/>
          <w:sz w:val="22"/>
          <w:szCs w:val="22"/>
        </w:rPr>
        <w:t xml:space="preserve">. </w:t>
      </w:r>
    </w:p>
    <w:p w:rsidR="005F72AF" w:rsidRDefault="005F72AF" w:rsidP="00B059C1">
      <w:pPr>
        <w:rPr>
          <w:rFonts w:asciiTheme="minorHAnsi" w:hAnsiTheme="minorHAnsi" w:cs="Arial"/>
          <w:sz w:val="22"/>
          <w:szCs w:val="22"/>
        </w:rPr>
      </w:pPr>
    </w:p>
    <w:p w:rsidR="00817A56" w:rsidRPr="00B059C1" w:rsidRDefault="00817A56" w:rsidP="00B059C1">
      <w:pPr>
        <w:rPr>
          <w:rFonts w:asciiTheme="minorHAnsi" w:hAnsiTheme="minorHAnsi" w:cs="Arial"/>
          <w:sz w:val="22"/>
          <w:szCs w:val="22"/>
        </w:rPr>
      </w:pPr>
    </w:p>
    <w:p w:rsidR="00B059C1" w:rsidRPr="00B059C1" w:rsidRDefault="00B059C1" w:rsidP="00B059C1">
      <w:pPr>
        <w:rPr>
          <w:rFonts w:asciiTheme="minorHAnsi" w:hAnsiTheme="minorHAnsi" w:cs="Arial"/>
          <w:sz w:val="22"/>
          <w:szCs w:val="22"/>
        </w:rPr>
      </w:pPr>
      <w:r w:rsidRPr="00B059C1">
        <w:rPr>
          <w:rFonts w:asciiTheme="minorHAnsi" w:hAnsiTheme="minorHAnsi" w:cs="Arial"/>
          <w:sz w:val="22"/>
          <w:szCs w:val="22"/>
        </w:rPr>
        <w:t>###</w:t>
      </w:r>
    </w:p>
    <w:p w:rsidR="00B059C1" w:rsidRPr="00B059C1" w:rsidRDefault="00B059C1" w:rsidP="00B059C1">
      <w:pPr>
        <w:rPr>
          <w:rFonts w:asciiTheme="minorHAnsi" w:hAnsiTheme="minorHAnsi"/>
          <w:sz w:val="22"/>
          <w:szCs w:val="22"/>
        </w:rPr>
      </w:pPr>
    </w:p>
    <w:p w:rsidR="00224290" w:rsidRPr="00B059C1" w:rsidRDefault="00224290" w:rsidP="00B15FC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224290" w:rsidRPr="00B059C1" w:rsidSect="0095592C">
      <w:headerReference w:type="first" r:id="rId15"/>
      <w:footerReference w:type="first" r:id="rId16"/>
      <w:type w:val="continuous"/>
      <w:pgSz w:w="12240" w:h="15840" w:code="1"/>
      <w:pgMar w:top="1800" w:right="1800" w:bottom="1800" w:left="1800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8D" w:rsidRDefault="00AB668D">
      <w:r>
        <w:separator/>
      </w:r>
    </w:p>
  </w:endnote>
  <w:endnote w:type="continuationSeparator" w:id="0">
    <w:p w:rsidR="00AB668D" w:rsidRDefault="00A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080"/>
    </w:tblGrid>
    <w:tr w:rsidR="008F6683">
      <w:tc>
        <w:tcPr>
          <w:tcW w:w="10080" w:type="dxa"/>
        </w:tcPr>
        <w:p w:rsidR="008F6683" w:rsidRDefault="008F6683">
          <w:pPr>
            <w:pBdr>
              <w:top w:val="single" w:sz="4" w:space="1" w:color="0000FF"/>
            </w:pBd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>8</w:t>
          </w:r>
          <w:r w:rsidR="00542B7B">
            <w:rPr>
              <w:sz w:val="18"/>
            </w:rPr>
            <w:t>10 Third Avenue, Suite 3</w:t>
          </w:r>
          <w:r>
            <w:rPr>
              <w:sz w:val="18"/>
            </w:rPr>
            <w:t>50, Seattle, WA 98104-1627</w:t>
          </w:r>
        </w:p>
        <w:p w:rsidR="008F6683" w:rsidRDefault="008F6683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 xml:space="preserve">Tel: (206) 684-4500, Fax: (206) 684-0332, TYY (206) 684-4503, website </w:t>
          </w:r>
          <w:hyperlink r:id="rId1" w:history="1">
            <w:r w:rsidR="00542B7B" w:rsidRPr="00F61FD1">
              <w:rPr>
                <w:rStyle w:val="Hyperlink"/>
                <w:sz w:val="18"/>
              </w:rPr>
              <w:t>http://www.seattle.gov/laborstandards</w:t>
            </w:r>
          </w:hyperlink>
          <w:r w:rsidR="00542B7B">
            <w:rPr>
              <w:sz w:val="18"/>
            </w:rPr>
            <w:t xml:space="preserve"> </w:t>
          </w:r>
        </w:p>
        <w:p w:rsidR="008F6683" w:rsidRDefault="008F6683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 xml:space="preserve">An equal opportunity - affirmative action employer. </w:t>
          </w:r>
          <w:r w:rsidR="00542B7B">
            <w:rPr>
              <w:sz w:val="18"/>
            </w:rPr>
            <w:br/>
          </w:r>
          <w:r>
            <w:rPr>
              <w:sz w:val="18"/>
            </w:rPr>
            <w:t xml:space="preserve">Accommodations for people with disabilities </w:t>
          </w:r>
          <w:r w:rsidR="00436EE3">
            <w:rPr>
              <w:sz w:val="18"/>
            </w:rPr>
            <w:t xml:space="preserve">and language interpretive services </w:t>
          </w:r>
          <w:r>
            <w:rPr>
              <w:sz w:val="18"/>
            </w:rPr>
            <w:t>provided upon request.</w:t>
          </w:r>
        </w:p>
      </w:tc>
    </w:tr>
  </w:tbl>
  <w:p w:rsidR="008F6683" w:rsidRDefault="008F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8D" w:rsidRDefault="00AB668D">
      <w:r>
        <w:separator/>
      </w:r>
    </w:p>
  </w:footnote>
  <w:footnote w:type="continuationSeparator" w:id="0">
    <w:p w:rsidR="00AB668D" w:rsidRDefault="00AB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83" w:rsidRDefault="008F6683">
    <w:pPr>
      <w:tabs>
        <w:tab w:val="right" w:pos="8640"/>
      </w:tabs>
      <w:ind w:hanging="360"/>
    </w:pPr>
    <w:r>
      <w:tab/>
    </w:r>
  </w:p>
  <w:tbl>
    <w:tblPr>
      <w:tblW w:w="0" w:type="auto"/>
      <w:tblInd w:w="-342" w:type="dxa"/>
      <w:tblLayout w:type="fixed"/>
      <w:tblLook w:val="0000" w:firstRow="0" w:lastRow="0" w:firstColumn="0" w:lastColumn="0" w:noHBand="0" w:noVBand="0"/>
    </w:tblPr>
    <w:tblGrid>
      <w:gridCol w:w="270"/>
      <w:gridCol w:w="9630"/>
    </w:tblGrid>
    <w:tr w:rsidR="008F6683">
      <w:trPr>
        <w:cantSplit/>
        <w:trHeight w:val="627"/>
      </w:trPr>
      <w:tc>
        <w:tcPr>
          <w:tcW w:w="270" w:type="dxa"/>
          <w:vMerge w:val="restart"/>
        </w:tcPr>
        <w:p w:rsidR="008F6683" w:rsidRDefault="008F6683">
          <w:pPr>
            <w:pStyle w:val="addresslabel"/>
            <w:tabs>
              <w:tab w:val="right" w:pos="8640"/>
            </w:tabs>
            <w:spacing w:after="120"/>
          </w:pPr>
          <w:r>
            <w:tab/>
          </w:r>
          <w:r>
            <w:rPr>
              <w:noProof/>
            </w:rPr>
            <w:drawing>
              <wp:anchor distT="0" distB="0" distL="114300" distR="114300" simplePos="0" relativeHeight="251657216" behindDoc="0" locked="1" layoutInCell="0" allowOverlap="1" wp14:anchorId="6B401509" wp14:editId="1473DDA1">
                <wp:simplePos x="0" y="0"/>
                <wp:positionH relativeFrom="column">
                  <wp:posOffset>-681990</wp:posOffset>
                </wp:positionH>
                <wp:positionV relativeFrom="paragraph">
                  <wp:posOffset>98425</wp:posOffset>
                </wp:positionV>
                <wp:extent cx="583565" cy="574675"/>
                <wp:effectExtent l="0" t="0" r="698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8F6683" w:rsidRDefault="008F6683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  <w:tcBorders>
            <w:bottom w:val="single" w:sz="6" w:space="0" w:color="0000FF"/>
          </w:tcBorders>
        </w:tcPr>
        <w:p w:rsidR="008F6683" w:rsidRDefault="008F6683">
          <w:pPr>
            <w:pStyle w:val="Heading1"/>
            <w:rPr>
              <w:rFonts w:ascii="Helvetica" w:hAnsi="Helvetica"/>
              <w:b w:val="0"/>
              <w:sz w:val="40"/>
            </w:rPr>
          </w:pPr>
          <w:r>
            <w:rPr>
              <w:b w:val="0"/>
              <w:sz w:val="40"/>
            </w:rPr>
            <w:t xml:space="preserve">City of </w:t>
          </w:r>
          <w:smartTag w:uri="urn:schemas-microsoft-com:office:smarttags" w:element="City">
            <w:smartTag w:uri="urn:schemas-microsoft-com:office:smarttags" w:element="place">
              <w:r>
                <w:rPr>
                  <w:b w:val="0"/>
                  <w:sz w:val="40"/>
                </w:rPr>
                <w:t>Seattle</w:t>
              </w:r>
            </w:smartTag>
          </w:smartTag>
        </w:p>
      </w:tc>
    </w:tr>
    <w:tr w:rsidR="008F6683">
      <w:trPr>
        <w:cantSplit/>
      </w:trPr>
      <w:tc>
        <w:tcPr>
          <w:tcW w:w="270" w:type="dxa"/>
          <w:vMerge/>
        </w:tcPr>
        <w:p w:rsidR="008F6683" w:rsidRDefault="008F6683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</w:tcPr>
        <w:p w:rsidR="008F6683" w:rsidRDefault="0091452E">
          <w:pPr>
            <w:tabs>
              <w:tab w:val="right" w:pos="8640"/>
            </w:tabs>
            <w:rPr>
              <w:b/>
              <w:sz w:val="40"/>
            </w:rPr>
          </w:pPr>
          <w:r>
            <w:rPr>
              <w:color w:val="0000FF"/>
              <w:sz w:val="16"/>
            </w:rPr>
            <w:t>Ed</w:t>
          </w:r>
          <w:r w:rsidR="004907AC">
            <w:rPr>
              <w:color w:val="0000FF"/>
              <w:sz w:val="16"/>
            </w:rPr>
            <w:t>ward B.</w:t>
          </w:r>
          <w:r>
            <w:rPr>
              <w:color w:val="0000FF"/>
              <w:sz w:val="16"/>
            </w:rPr>
            <w:t xml:space="preserve"> Murray</w:t>
          </w:r>
          <w:r w:rsidR="008F6683">
            <w:rPr>
              <w:color w:val="0000FF"/>
              <w:sz w:val="16"/>
            </w:rPr>
            <w:t>, Mayor</w:t>
          </w:r>
        </w:p>
        <w:p w:rsidR="00C52CD3" w:rsidRPr="00C52CD3" w:rsidRDefault="00C52CD3" w:rsidP="001172D8">
          <w:pPr>
            <w:pStyle w:val="Heading2"/>
            <w:rPr>
              <w:sz w:val="12"/>
            </w:rPr>
          </w:pPr>
        </w:p>
        <w:p w:rsidR="008F6683" w:rsidRDefault="008F6683" w:rsidP="001172D8">
          <w:pPr>
            <w:pStyle w:val="Heading2"/>
            <w:rPr>
              <w:sz w:val="28"/>
            </w:rPr>
          </w:pPr>
          <w:r>
            <w:rPr>
              <w:sz w:val="28"/>
            </w:rPr>
            <w:t xml:space="preserve">Seattle Office </w:t>
          </w:r>
          <w:r w:rsidR="002D1003">
            <w:rPr>
              <w:sz w:val="28"/>
            </w:rPr>
            <w:t>of Labor Standards</w:t>
          </w:r>
          <w:r w:rsidR="001172D8">
            <w:rPr>
              <w:sz w:val="28"/>
            </w:rPr>
            <w:t xml:space="preserve">                           </w:t>
          </w:r>
        </w:p>
        <w:p w:rsidR="008F6683" w:rsidRDefault="001172D8">
          <w:pPr>
            <w:pStyle w:val="Footer"/>
            <w:tabs>
              <w:tab w:val="clear" w:pos="4320"/>
              <w:tab w:val="clear" w:pos="8640"/>
            </w:tabs>
            <w:rPr>
              <w:sz w:val="20"/>
            </w:rPr>
          </w:pPr>
          <w:r>
            <w:rPr>
              <w:sz w:val="20"/>
            </w:rPr>
            <w:t xml:space="preserve">Dylan Orr, Director </w:t>
          </w:r>
        </w:p>
      </w:tc>
    </w:tr>
    <w:tr w:rsidR="001172D8">
      <w:trPr>
        <w:cantSplit/>
      </w:trPr>
      <w:tc>
        <w:tcPr>
          <w:tcW w:w="270" w:type="dxa"/>
        </w:tcPr>
        <w:p w:rsidR="001172D8" w:rsidRDefault="001172D8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</w:tcPr>
        <w:p w:rsidR="001172D8" w:rsidRDefault="001172D8">
          <w:pPr>
            <w:tabs>
              <w:tab w:val="right" w:pos="8640"/>
            </w:tabs>
            <w:rPr>
              <w:color w:val="0000FF"/>
              <w:sz w:val="16"/>
            </w:rPr>
          </w:pPr>
        </w:p>
      </w:tc>
    </w:tr>
  </w:tbl>
  <w:p w:rsidR="008F6683" w:rsidRDefault="008F6683">
    <w:pPr>
      <w:tabs>
        <w:tab w:val="right" w:pos="8640"/>
      </w:tabs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12"/>
    <w:multiLevelType w:val="hybridMultilevel"/>
    <w:tmpl w:val="DA5A6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D83931"/>
    <w:multiLevelType w:val="hybridMultilevel"/>
    <w:tmpl w:val="BB42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20E"/>
    <w:multiLevelType w:val="hybridMultilevel"/>
    <w:tmpl w:val="C7F0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CD0"/>
    <w:multiLevelType w:val="hybridMultilevel"/>
    <w:tmpl w:val="2998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754B"/>
    <w:multiLevelType w:val="hybridMultilevel"/>
    <w:tmpl w:val="57C454DA"/>
    <w:lvl w:ilvl="0" w:tplc="BF08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ED4"/>
    <w:multiLevelType w:val="hybridMultilevel"/>
    <w:tmpl w:val="50A2AD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C3CE9"/>
    <w:multiLevelType w:val="multilevel"/>
    <w:tmpl w:val="D90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0458A"/>
    <w:multiLevelType w:val="multilevel"/>
    <w:tmpl w:val="1ED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350EB"/>
    <w:multiLevelType w:val="hybridMultilevel"/>
    <w:tmpl w:val="FAD096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E7FC3"/>
    <w:multiLevelType w:val="hybridMultilevel"/>
    <w:tmpl w:val="1EBA1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165B0B"/>
    <w:multiLevelType w:val="multilevel"/>
    <w:tmpl w:val="FEF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FE11B2"/>
    <w:multiLevelType w:val="multilevel"/>
    <w:tmpl w:val="2E2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E2FA6"/>
    <w:multiLevelType w:val="multilevel"/>
    <w:tmpl w:val="7F4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B2147"/>
    <w:multiLevelType w:val="hybridMultilevel"/>
    <w:tmpl w:val="C7A46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372668"/>
    <w:multiLevelType w:val="hybridMultilevel"/>
    <w:tmpl w:val="88D4CB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4786103B"/>
    <w:multiLevelType w:val="hybridMultilevel"/>
    <w:tmpl w:val="B3A2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45DF"/>
    <w:multiLevelType w:val="hybridMultilevel"/>
    <w:tmpl w:val="4F143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40D3AE0"/>
    <w:multiLevelType w:val="hybridMultilevel"/>
    <w:tmpl w:val="D820D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26BF4"/>
    <w:multiLevelType w:val="hybridMultilevel"/>
    <w:tmpl w:val="8F44A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A81EE3"/>
    <w:multiLevelType w:val="hybridMultilevel"/>
    <w:tmpl w:val="68B09ECC"/>
    <w:lvl w:ilvl="0" w:tplc="03FE89A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EE438F"/>
    <w:multiLevelType w:val="multilevel"/>
    <w:tmpl w:val="2B1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A5A21"/>
    <w:multiLevelType w:val="hybridMultilevel"/>
    <w:tmpl w:val="E87ECBF2"/>
    <w:lvl w:ilvl="0" w:tplc="F3801DF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E02DBC"/>
    <w:multiLevelType w:val="singleLevel"/>
    <w:tmpl w:val="883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799361A9"/>
    <w:multiLevelType w:val="hybridMultilevel"/>
    <w:tmpl w:val="ABE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0E3E"/>
    <w:multiLevelType w:val="multilevel"/>
    <w:tmpl w:val="22D6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680EB5"/>
    <w:multiLevelType w:val="multilevel"/>
    <w:tmpl w:val="B4B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9"/>
  </w:num>
  <w:num w:numId="5">
    <w:abstractNumId w:val="22"/>
  </w:num>
  <w:num w:numId="6">
    <w:abstractNumId w:val="16"/>
  </w:num>
  <w:num w:numId="7">
    <w:abstractNumId w:val="14"/>
  </w:num>
  <w:num w:numId="8">
    <w:abstractNumId w:val="3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6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13"/>
  </w:num>
  <w:num w:numId="21">
    <w:abstractNumId w:val="0"/>
  </w:num>
  <w:num w:numId="22">
    <w:abstractNumId w:val="4"/>
  </w:num>
  <w:num w:numId="23">
    <w:abstractNumId w:val="10"/>
  </w:num>
  <w:num w:numId="24">
    <w:abstractNumId w:val="1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4829"/>
    <w:rsid w:val="0000512E"/>
    <w:rsid w:val="00010F5C"/>
    <w:rsid w:val="00011854"/>
    <w:rsid w:val="00021B3A"/>
    <w:rsid w:val="00026CEF"/>
    <w:rsid w:val="000561E9"/>
    <w:rsid w:val="00067767"/>
    <w:rsid w:val="00085997"/>
    <w:rsid w:val="00091126"/>
    <w:rsid w:val="00091A44"/>
    <w:rsid w:val="00092C8F"/>
    <w:rsid w:val="00093452"/>
    <w:rsid w:val="000969DC"/>
    <w:rsid w:val="00096A30"/>
    <w:rsid w:val="00097CDC"/>
    <w:rsid w:val="000A15AA"/>
    <w:rsid w:val="000A336B"/>
    <w:rsid w:val="000A3394"/>
    <w:rsid w:val="000A360E"/>
    <w:rsid w:val="000A49A0"/>
    <w:rsid w:val="000A72A5"/>
    <w:rsid w:val="000A7D0C"/>
    <w:rsid w:val="000B1B39"/>
    <w:rsid w:val="000B4170"/>
    <w:rsid w:val="000B71D3"/>
    <w:rsid w:val="000B751B"/>
    <w:rsid w:val="000C3CF4"/>
    <w:rsid w:val="000D54DB"/>
    <w:rsid w:val="00100E7F"/>
    <w:rsid w:val="001172D8"/>
    <w:rsid w:val="00123026"/>
    <w:rsid w:val="0014113C"/>
    <w:rsid w:val="001541F9"/>
    <w:rsid w:val="00160958"/>
    <w:rsid w:val="00162ABB"/>
    <w:rsid w:val="0017054C"/>
    <w:rsid w:val="0017498E"/>
    <w:rsid w:val="00183B64"/>
    <w:rsid w:val="001906F1"/>
    <w:rsid w:val="00192A0A"/>
    <w:rsid w:val="00192C3A"/>
    <w:rsid w:val="00193257"/>
    <w:rsid w:val="001A5221"/>
    <w:rsid w:val="001A58D9"/>
    <w:rsid w:val="001B4741"/>
    <w:rsid w:val="001C53AB"/>
    <w:rsid w:val="001C6D12"/>
    <w:rsid w:val="001E190C"/>
    <w:rsid w:val="001E49FD"/>
    <w:rsid w:val="001E7AC6"/>
    <w:rsid w:val="001F16AB"/>
    <w:rsid w:val="001F2D68"/>
    <w:rsid w:val="0020035E"/>
    <w:rsid w:val="00201B99"/>
    <w:rsid w:val="00202365"/>
    <w:rsid w:val="00204CBE"/>
    <w:rsid w:val="00205BFA"/>
    <w:rsid w:val="00211D5B"/>
    <w:rsid w:val="0021204D"/>
    <w:rsid w:val="00224290"/>
    <w:rsid w:val="00235270"/>
    <w:rsid w:val="002359CE"/>
    <w:rsid w:val="00244D38"/>
    <w:rsid w:val="0024598A"/>
    <w:rsid w:val="002518A1"/>
    <w:rsid w:val="0025277F"/>
    <w:rsid w:val="002537F5"/>
    <w:rsid w:val="00255702"/>
    <w:rsid w:val="00257374"/>
    <w:rsid w:val="002576EB"/>
    <w:rsid w:val="00260947"/>
    <w:rsid w:val="002628C6"/>
    <w:rsid w:val="0026363D"/>
    <w:rsid w:val="00265C99"/>
    <w:rsid w:val="00274D10"/>
    <w:rsid w:val="00276940"/>
    <w:rsid w:val="0027778F"/>
    <w:rsid w:val="002807E3"/>
    <w:rsid w:val="002859D2"/>
    <w:rsid w:val="002935E6"/>
    <w:rsid w:val="002963A8"/>
    <w:rsid w:val="002A49C3"/>
    <w:rsid w:val="002B12E4"/>
    <w:rsid w:val="002B5B6B"/>
    <w:rsid w:val="002C1B53"/>
    <w:rsid w:val="002C5001"/>
    <w:rsid w:val="002D1003"/>
    <w:rsid w:val="002D1045"/>
    <w:rsid w:val="002D5CCE"/>
    <w:rsid w:val="002E3A66"/>
    <w:rsid w:val="002E3EA2"/>
    <w:rsid w:val="002E4C17"/>
    <w:rsid w:val="002F0D1C"/>
    <w:rsid w:val="002F6CF9"/>
    <w:rsid w:val="00303A8C"/>
    <w:rsid w:val="00305DC4"/>
    <w:rsid w:val="00315BF0"/>
    <w:rsid w:val="00326DD9"/>
    <w:rsid w:val="00331603"/>
    <w:rsid w:val="003372AE"/>
    <w:rsid w:val="00337398"/>
    <w:rsid w:val="00341E74"/>
    <w:rsid w:val="00345AAA"/>
    <w:rsid w:val="00345C15"/>
    <w:rsid w:val="003579B2"/>
    <w:rsid w:val="00361BF4"/>
    <w:rsid w:val="00365AF3"/>
    <w:rsid w:val="0036775E"/>
    <w:rsid w:val="00367B4F"/>
    <w:rsid w:val="003746FB"/>
    <w:rsid w:val="003803E6"/>
    <w:rsid w:val="00382393"/>
    <w:rsid w:val="0038292A"/>
    <w:rsid w:val="00386510"/>
    <w:rsid w:val="00395E0D"/>
    <w:rsid w:val="003A08EF"/>
    <w:rsid w:val="003A27F4"/>
    <w:rsid w:val="003A2FA6"/>
    <w:rsid w:val="003B3B73"/>
    <w:rsid w:val="003B3EC5"/>
    <w:rsid w:val="003C2EE8"/>
    <w:rsid w:val="003C2F0B"/>
    <w:rsid w:val="003C4354"/>
    <w:rsid w:val="003D1C89"/>
    <w:rsid w:val="003D3E03"/>
    <w:rsid w:val="003D51AB"/>
    <w:rsid w:val="003E0D04"/>
    <w:rsid w:val="003E45A9"/>
    <w:rsid w:val="003F165C"/>
    <w:rsid w:val="00400FCE"/>
    <w:rsid w:val="004015FD"/>
    <w:rsid w:val="00402717"/>
    <w:rsid w:val="00404F9D"/>
    <w:rsid w:val="004051ED"/>
    <w:rsid w:val="0041133B"/>
    <w:rsid w:val="004147D5"/>
    <w:rsid w:val="00414DD0"/>
    <w:rsid w:val="004155A7"/>
    <w:rsid w:val="00415F6C"/>
    <w:rsid w:val="00420D56"/>
    <w:rsid w:val="00430FDD"/>
    <w:rsid w:val="0043462F"/>
    <w:rsid w:val="00436EE3"/>
    <w:rsid w:val="0043795D"/>
    <w:rsid w:val="00447F65"/>
    <w:rsid w:val="00450B3B"/>
    <w:rsid w:val="00454A59"/>
    <w:rsid w:val="00457123"/>
    <w:rsid w:val="00460D7E"/>
    <w:rsid w:val="00461D03"/>
    <w:rsid w:val="0046715F"/>
    <w:rsid w:val="0047149A"/>
    <w:rsid w:val="0047467C"/>
    <w:rsid w:val="00476A31"/>
    <w:rsid w:val="004814A9"/>
    <w:rsid w:val="0048743F"/>
    <w:rsid w:val="00487D3E"/>
    <w:rsid w:val="004903A0"/>
    <w:rsid w:val="004907AC"/>
    <w:rsid w:val="00494949"/>
    <w:rsid w:val="00495770"/>
    <w:rsid w:val="004A1057"/>
    <w:rsid w:val="004B395B"/>
    <w:rsid w:val="004C409F"/>
    <w:rsid w:val="004D5479"/>
    <w:rsid w:val="004D7EDA"/>
    <w:rsid w:val="004E2353"/>
    <w:rsid w:val="004E28F1"/>
    <w:rsid w:val="004E3315"/>
    <w:rsid w:val="004E521C"/>
    <w:rsid w:val="004E5631"/>
    <w:rsid w:val="004E77A8"/>
    <w:rsid w:val="004F2584"/>
    <w:rsid w:val="004F4D95"/>
    <w:rsid w:val="005078A5"/>
    <w:rsid w:val="0051642A"/>
    <w:rsid w:val="00517194"/>
    <w:rsid w:val="00517334"/>
    <w:rsid w:val="005261D7"/>
    <w:rsid w:val="005304AC"/>
    <w:rsid w:val="00536015"/>
    <w:rsid w:val="00542B7B"/>
    <w:rsid w:val="005505E1"/>
    <w:rsid w:val="005553AD"/>
    <w:rsid w:val="00575C01"/>
    <w:rsid w:val="00590312"/>
    <w:rsid w:val="005932D7"/>
    <w:rsid w:val="00594BD5"/>
    <w:rsid w:val="00594CF2"/>
    <w:rsid w:val="005A07CE"/>
    <w:rsid w:val="005B4EBC"/>
    <w:rsid w:val="005B560B"/>
    <w:rsid w:val="005C512E"/>
    <w:rsid w:val="005D0138"/>
    <w:rsid w:val="005D4307"/>
    <w:rsid w:val="005D7916"/>
    <w:rsid w:val="005F00B6"/>
    <w:rsid w:val="005F1EDF"/>
    <w:rsid w:val="005F3D9C"/>
    <w:rsid w:val="005F72AF"/>
    <w:rsid w:val="00601AF2"/>
    <w:rsid w:val="00601F6F"/>
    <w:rsid w:val="006104F6"/>
    <w:rsid w:val="00610DFE"/>
    <w:rsid w:val="00615DE0"/>
    <w:rsid w:val="00617747"/>
    <w:rsid w:val="006333FC"/>
    <w:rsid w:val="0063460C"/>
    <w:rsid w:val="00634C88"/>
    <w:rsid w:val="00636BD4"/>
    <w:rsid w:val="00647226"/>
    <w:rsid w:val="006515DF"/>
    <w:rsid w:val="0065548B"/>
    <w:rsid w:val="006601D8"/>
    <w:rsid w:val="00663F93"/>
    <w:rsid w:val="00674486"/>
    <w:rsid w:val="0067686E"/>
    <w:rsid w:val="00684C4D"/>
    <w:rsid w:val="00691060"/>
    <w:rsid w:val="00691FE5"/>
    <w:rsid w:val="00692A77"/>
    <w:rsid w:val="00694963"/>
    <w:rsid w:val="006954B1"/>
    <w:rsid w:val="006A1052"/>
    <w:rsid w:val="006A163B"/>
    <w:rsid w:val="006A6464"/>
    <w:rsid w:val="006C2215"/>
    <w:rsid w:val="006D0F5F"/>
    <w:rsid w:val="006D1D98"/>
    <w:rsid w:val="006D2A64"/>
    <w:rsid w:val="006D2C9C"/>
    <w:rsid w:val="006E56E5"/>
    <w:rsid w:val="006F09FD"/>
    <w:rsid w:val="006F3A69"/>
    <w:rsid w:val="006F4F03"/>
    <w:rsid w:val="006F6F7D"/>
    <w:rsid w:val="00704612"/>
    <w:rsid w:val="00705540"/>
    <w:rsid w:val="0070556D"/>
    <w:rsid w:val="00710F5E"/>
    <w:rsid w:val="007148C7"/>
    <w:rsid w:val="00717A21"/>
    <w:rsid w:val="00727B82"/>
    <w:rsid w:val="00733873"/>
    <w:rsid w:val="00733A1E"/>
    <w:rsid w:val="0073433E"/>
    <w:rsid w:val="007349A7"/>
    <w:rsid w:val="00740168"/>
    <w:rsid w:val="00743963"/>
    <w:rsid w:val="0074513C"/>
    <w:rsid w:val="00745C52"/>
    <w:rsid w:val="007530B5"/>
    <w:rsid w:val="00754646"/>
    <w:rsid w:val="00763D95"/>
    <w:rsid w:val="00785C63"/>
    <w:rsid w:val="00791596"/>
    <w:rsid w:val="007A522F"/>
    <w:rsid w:val="007B6BB1"/>
    <w:rsid w:val="007B7EBA"/>
    <w:rsid w:val="007C0BF7"/>
    <w:rsid w:val="007D348B"/>
    <w:rsid w:val="007D4330"/>
    <w:rsid w:val="007D4E99"/>
    <w:rsid w:val="007E4CB9"/>
    <w:rsid w:val="007F6442"/>
    <w:rsid w:val="007F7B50"/>
    <w:rsid w:val="008057DF"/>
    <w:rsid w:val="0080682D"/>
    <w:rsid w:val="008106A6"/>
    <w:rsid w:val="00817A56"/>
    <w:rsid w:val="00817B06"/>
    <w:rsid w:val="00820C23"/>
    <w:rsid w:val="00822328"/>
    <w:rsid w:val="00834D1D"/>
    <w:rsid w:val="00834D7B"/>
    <w:rsid w:val="00836288"/>
    <w:rsid w:val="0084030C"/>
    <w:rsid w:val="00842A07"/>
    <w:rsid w:val="00844A14"/>
    <w:rsid w:val="0084684A"/>
    <w:rsid w:val="00857AA8"/>
    <w:rsid w:val="00862A71"/>
    <w:rsid w:val="00862C0C"/>
    <w:rsid w:val="0086333C"/>
    <w:rsid w:val="00865EA9"/>
    <w:rsid w:val="00866584"/>
    <w:rsid w:val="00870AB0"/>
    <w:rsid w:val="00884071"/>
    <w:rsid w:val="008907B4"/>
    <w:rsid w:val="00891A1F"/>
    <w:rsid w:val="008947D7"/>
    <w:rsid w:val="008956C6"/>
    <w:rsid w:val="008A26A3"/>
    <w:rsid w:val="008A34B8"/>
    <w:rsid w:val="008B20B2"/>
    <w:rsid w:val="008B23BC"/>
    <w:rsid w:val="008C0A95"/>
    <w:rsid w:val="008C16B1"/>
    <w:rsid w:val="008C5CF7"/>
    <w:rsid w:val="008D09EF"/>
    <w:rsid w:val="008E5CA5"/>
    <w:rsid w:val="008F6683"/>
    <w:rsid w:val="00900957"/>
    <w:rsid w:val="009122DD"/>
    <w:rsid w:val="0091452E"/>
    <w:rsid w:val="009159D2"/>
    <w:rsid w:val="0091781C"/>
    <w:rsid w:val="009231D4"/>
    <w:rsid w:val="00923525"/>
    <w:rsid w:val="00925239"/>
    <w:rsid w:val="00935BC5"/>
    <w:rsid w:val="00941C05"/>
    <w:rsid w:val="0094272F"/>
    <w:rsid w:val="00953B97"/>
    <w:rsid w:val="0095592C"/>
    <w:rsid w:val="00957C7B"/>
    <w:rsid w:val="00957FF8"/>
    <w:rsid w:val="00963541"/>
    <w:rsid w:val="00970832"/>
    <w:rsid w:val="00973A63"/>
    <w:rsid w:val="0098211B"/>
    <w:rsid w:val="00985671"/>
    <w:rsid w:val="00987CFA"/>
    <w:rsid w:val="009914E4"/>
    <w:rsid w:val="009934EB"/>
    <w:rsid w:val="009938F6"/>
    <w:rsid w:val="009A0A43"/>
    <w:rsid w:val="009C12D9"/>
    <w:rsid w:val="009C15DF"/>
    <w:rsid w:val="009C3D1E"/>
    <w:rsid w:val="009C61BE"/>
    <w:rsid w:val="009C7EB0"/>
    <w:rsid w:val="009D194A"/>
    <w:rsid w:val="009E0CDD"/>
    <w:rsid w:val="009E318D"/>
    <w:rsid w:val="009E6CE8"/>
    <w:rsid w:val="009E7D18"/>
    <w:rsid w:val="009E7F56"/>
    <w:rsid w:val="009F32E6"/>
    <w:rsid w:val="00A03AFF"/>
    <w:rsid w:val="00A04C47"/>
    <w:rsid w:val="00A056D5"/>
    <w:rsid w:val="00A120EB"/>
    <w:rsid w:val="00A21F17"/>
    <w:rsid w:val="00A625CF"/>
    <w:rsid w:val="00A74761"/>
    <w:rsid w:val="00A875F8"/>
    <w:rsid w:val="00A949C0"/>
    <w:rsid w:val="00AA7501"/>
    <w:rsid w:val="00AB00B9"/>
    <w:rsid w:val="00AB5A7D"/>
    <w:rsid w:val="00AB668D"/>
    <w:rsid w:val="00AD08E0"/>
    <w:rsid w:val="00AD3AB4"/>
    <w:rsid w:val="00AD49CC"/>
    <w:rsid w:val="00AE0740"/>
    <w:rsid w:val="00AE16E1"/>
    <w:rsid w:val="00AF12E5"/>
    <w:rsid w:val="00AF1409"/>
    <w:rsid w:val="00AF5309"/>
    <w:rsid w:val="00AF7B9D"/>
    <w:rsid w:val="00B059C1"/>
    <w:rsid w:val="00B06D39"/>
    <w:rsid w:val="00B10CA1"/>
    <w:rsid w:val="00B1118B"/>
    <w:rsid w:val="00B15FC6"/>
    <w:rsid w:val="00B20ADB"/>
    <w:rsid w:val="00B22DBE"/>
    <w:rsid w:val="00B25C98"/>
    <w:rsid w:val="00B50A90"/>
    <w:rsid w:val="00B62E7B"/>
    <w:rsid w:val="00B72567"/>
    <w:rsid w:val="00B73EA9"/>
    <w:rsid w:val="00B75D60"/>
    <w:rsid w:val="00B805F6"/>
    <w:rsid w:val="00B81190"/>
    <w:rsid w:val="00B91113"/>
    <w:rsid w:val="00B91452"/>
    <w:rsid w:val="00B91921"/>
    <w:rsid w:val="00B94FF9"/>
    <w:rsid w:val="00BA3C12"/>
    <w:rsid w:val="00BA58AE"/>
    <w:rsid w:val="00BA613B"/>
    <w:rsid w:val="00BA65D0"/>
    <w:rsid w:val="00BB2999"/>
    <w:rsid w:val="00BB413F"/>
    <w:rsid w:val="00BC12CB"/>
    <w:rsid w:val="00BC4F22"/>
    <w:rsid w:val="00BC7FE7"/>
    <w:rsid w:val="00BD225B"/>
    <w:rsid w:val="00BD32F1"/>
    <w:rsid w:val="00BD6B9B"/>
    <w:rsid w:val="00BE0721"/>
    <w:rsid w:val="00BE116A"/>
    <w:rsid w:val="00BE22A8"/>
    <w:rsid w:val="00BE2A87"/>
    <w:rsid w:val="00BE4A32"/>
    <w:rsid w:val="00BF20CA"/>
    <w:rsid w:val="00BF31E7"/>
    <w:rsid w:val="00BF390D"/>
    <w:rsid w:val="00BF3B16"/>
    <w:rsid w:val="00C00771"/>
    <w:rsid w:val="00C00AF8"/>
    <w:rsid w:val="00C0421E"/>
    <w:rsid w:val="00C0706A"/>
    <w:rsid w:val="00C20F2C"/>
    <w:rsid w:val="00C25C0A"/>
    <w:rsid w:val="00C2630C"/>
    <w:rsid w:val="00C318F1"/>
    <w:rsid w:val="00C32391"/>
    <w:rsid w:val="00C36144"/>
    <w:rsid w:val="00C4628D"/>
    <w:rsid w:val="00C46B43"/>
    <w:rsid w:val="00C52CD3"/>
    <w:rsid w:val="00C6649E"/>
    <w:rsid w:val="00C672CE"/>
    <w:rsid w:val="00C81471"/>
    <w:rsid w:val="00C828CA"/>
    <w:rsid w:val="00C83AF5"/>
    <w:rsid w:val="00C85760"/>
    <w:rsid w:val="00CA424E"/>
    <w:rsid w:val="00CA482D"/>
    <w:rsid w:val="00CB1BA0"/>
    <w:rsid w:val="00CB3D06"/>
    <w:rsid w:val="00CB617C"/>
    <w:rsid w:val="00CB7C89"/>
    <w:rsid w:val="00CC0D38"/>
    <w:rsid w:val="00CC0DB3"/>
    <w:rsid w:val="00CC0E51"/>
    <w:rsid w:val="00CC2A55"/>
    <w:rsid w:val="00CC4159"/>
    <w:rsid w:val="00CC4844"/>
    <w:rsid w:val="00CC4E1E"/>
    <w:rsid w:val="00CC5069"/>
    <w:rsid w:val="00CD5277"/>
    <w:rsid w:val="00CD540C"/>
    <w:rsid w:val="00CF1B6A"/>
    <w:rsid w:val="00D027DB"/>
    <w:rsid w:val="00D027EA"/>
    <w:rsid w:val="00D1437C"/>
    <w:rsid w:val="00D16AB5"/>
    <w:rsid w:val="00D33762"/>
    <w:rsid w:val="00D46C48"/>
    <w:rsid w:val="00D60378"/>
    <w:rsid w:val="00D62D88"/>
    <w:rsid w:val="00D70AE7"/>
    <w:rsid w:val="00D731D5"/>
    <w:rsid w:val="00D808A0"/>
    <w:rsid w:val="00D8303E"/>
    <w:rsid w:val="00D875DF"/>
    <w:rsid w:val="00D9086B"/>
    <w:rsid w:val="00DB49FE"/>
    <w:rsid w:val="00DB72DF"/>
    <w:rsid w:val="00DD67B1"/>
    <w:rsid w:val="00DD6CEE"/>
    <w:rsid w:val="00DF13BF"/>
    <w:rsid w:val="00DF4492"/>
    <w:rsid w:val="00E06A87"/>
    <w:rsid w:val="00E1003D"/>
    <w:rsid w:val="00E1613B"/>
    <w:rsid w:val="00E20B98"/>
    <w:rsid w:val="00E359A9"/>
    <w:rsid w:val="00E35B74"/>
    <w:rsid w:val="00E36AA9"/>
    <w:rsid w:val="00E414A8"/>
    <w:rsid w:val="00E55011"/>
    <w:rsid w:val="00E5682E"/>
    <w:rsid w:val="00E578DA"/>
    <w:rsid w:val="00E57D69"/>
    <w:rsid w:val="00E62D8C"/>
    <w:rsid w:val="00E66552"/>
    <w:rsid w:val="00E674BE"/>
    <w:rsid w:val="00E7056D"/>
    <w:rsid w:val="00E714EF"/>
    <w:rsid w:val="00E85958"/>
    <w:rsid w:val="00E902C2"/>
    <w:rsid w:val="00E90639"/>
    <w:rsid w:val="00E955C9"/>
    <w:rsid w:val="00EA2F37"/>
    <w:rsid w:val="00EA6742"/>
    <w:rsid w:val="00EB3159"/>
    <w:rsid w:val="00EB6198"/>
    <w:rsid w:val="00EC22F3"/>
    <w:rsid w:val="00EC3984"/>
    <w:rsid w:val="00EC6822"/>
    <w:rsid w:val="00ED1B14"/>
    <w:rsid w:val="00ED29D2"/>
    <w:rsid w:val="00ED59A9"/>
    <w:rsid w:val="00EE0526"/>
    <w:rsid w:val="00EF16E3"/>
    <w:rsid w:val="00F029CE"/>
    <w:rsid w:val="00F02A5F"/>
    <w:rsid w:val="00F0320C"/>
    <w:rsid w:val="00F05F6D"/>
    <w:rsid w:val="00F06DD9"/>
    <w:rsid w:val="00F11048"/>
    <w:rsid w:val="00F15D52"/>
    <w:rsid w:val="00F236EA"/>
    <w:rsid w:val="00F24F09"/>
    <w:rsid w:val="00F26482"/>
    <w:rsid w:val="00F34137"/>
    <w:rsid w:val="00F35CD9"/>
    <w:rsid w:val="00F36188"/>
    <w:rsid w:val="00F36DA3"/>
    <w:rsid w:val="00F36E61"/>
    <w:rsid w:val="00F50DA2"/>
    <w:rsid w:val="00F7261E"/>
    <w:rsid w:val="00F728D6"/>
    <w:rsid w:val="00F8401B"/>
    <w:rsid w:val="00F854A2"/>
    <w:rsid w:val="00F87D74"/>
    <w:rsid w:val="00F93C7F"/>
    <w:rsid w:val="00FC10F0"/>
    <w:rsid w:val="00FC1BCC"/>
    <w:rsid w:val="00FD2458"/>
    <w:rsid w:val="00FF0826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A3EEBF8"/>
  <w15:docId w15:val="{7423FA90-1940-492C-9E20-C41574E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sfc"/>
    <w:qFormat/>
    <w:rsid w:val="00337398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9CE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29CE"/>
    <w:pPr>
      <w:keepNext/>
      <w:tabs>
        <w:tab w:val="right" w:pos="8640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E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7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70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ddresslabel">
    <w:name w:val="address label"/>
    <w:basedOn w:val="Normal"/>
    <w:uiPriority w:val="99"/>
    <w:rsid w:val="00F029CE"/>
  </w:style>
  <w:style w:type="paragraph" w:styleId="Header">
    <w:name w:val="header"/>
    <w:basedOn w:val="Normal"/>
    <w:link w:val="HeaderChar"/>
    <w:uiPriority w:val="99"/>
    <w:rsid w:val="00F029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709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rsid w:val="00100E7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02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709"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09"/>
    <w:rPr>
      <w:sz w:val="0"/>
      <w:szCs w:val="0"/>
    </w:rPr>
  </w:style>
  <w:style w:type="character" w:customStyle="1" w:styleId="ptext-2">
    <w:name w:val="ptext-2"/>
    <w:basedOn w:val="DefaultParagraphFont"/>
    <w:uiPriority w:val="99"/>
    <w:rsid w:val="00BF390D"/>
    <w:rPr>
      <w:rFonts w:cs="Times New Roman"/>
    </w:rPr>
  </w:style>
  <w:style w:type="paragraph" w:styleId="NoSpacing">
    <w:name w:val="No Spacing"/>
    <w:uiPriority w:val="99"/>
    <w:qFormat/>
    <w:rsid w:val="00710F5E"/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CC4E1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F264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rsid w:val="00F264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6482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6482"/>
    <w:rPr>
      <w:rFonts w:eastAsia="Times New Roman" w:cs="Times New Roman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D104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locked/>
    <w:rsid w:val="002D104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82"/>
    <w:pPr>
      <w:spacing w:after="0"/>
      <w:jc w:val="left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82"/>
    <w:rPr>
      <w:rFonts w:ascii="Arial" w:eastAsia="Times New Roman" w:hAnsi="Arial" w:cs="Times New Roman"/>
      <w:b/>
      <w:bCs/>
      <w:sz w:val="20"/>
      <w:szCs w:val="2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9FE"/>
    <w:pPr>
      <w:jc w:val="both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9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9FE"/>
    <w:rPr>
      <w:vertAlign w:val="superscript"/>
    </w:rPr>
  </w:style>
  <w:style w:type="paragraph" w:customStyle="1" w:styleId="a">
    <w:name w:val="a"/>
    <w:basedOn w:val="Normal"/>
    <w:uiPriority w:val="99"/>
    <w:rsid w:val="004907AC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Heading">
    <w:name w:val="Heading"/>
    <w:basedOn w:val="Normal"/>
    <w:next w:val="Normal"/>
    <w:link w:val="HeadingChar"/>
    <w:qFormat/>
    <w:rsid w:val="00B059C1"/>
    <w:pPr>
      <w:keepNext/>
      <w:autoSpaceDE w:val="0"/>
      <w:autoSpaceDN w:val="0"/>
      <w:adjustRightInd w:val="0"/>
      <w:spacing w:before="240" w:after="80"/>
    </w:pPr>
    <w:rPr>
      <w:rFonts w:eastAsiaTheme="minorHAnsi" w:cs="Arial"/>
      <w:b/>
      <w:color w:val="000000" w:themeColor="text1"/>
      <w:sz w:val="28"/>
      <w:szCs w:val="22"/>
    </w:rPr>
  </w:style>
  <w:style w:type="character" w:customStyle="1" w:styleId="HeadingChar">
    <w:name w:val="Heading Char"/>
    <w:basedOn w:val="DefaultParagraphFont"/>
    <w:link w:val="Heading"/>
    <w:rsid w:val="00B059C1"/>
    <w:rPr>
      <w:rFonts w:ascii="Arial" w:eastAsiaTheme="minorHAnsi" w:hAnsi="Arial" w:cs="Arial"/>
      <w:b/>
      <w:color w:val="000000" w:themeColor="text1"/>
      <w:sz w:val="28"/>
    </w:rPr>
  </w:style>
  <w:style w:type="character" w:styleId="Mention">
    <w:name w:val="Mention"/>
    <w:basedOn w:val="DefaultParagraphFont"/>
    <w:uiPriority w:val="99"/>
    <w:semiHidden/>
    <w:unhideWhenUsed/>
    <w:rsid w:val="001749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t.bronstein@seattle.gov" TargetMode="External"/><Relationship Id="rId13" Type="http://schemas.openxmlformats.org/officeDocument/2006/relationships/hyperlink" Target="https://seattle-cr.entellitrak.com/etk-seattle-cr-prod/page.request.do?page=page.form.intake.questionnair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orstandards@seattle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tle.gov/laborstandards/ordinances/secure-schedul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attle.gov/laborstandards/ordinances/secure-schedu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icode.com/library/wa/seattle/codes/municipal_code?nodeId=TIT14HURI_14.22SESC" TargetMode="External"/><Relationship Id="rId14" Type="http://schemas.openxmlformats.org/officeDocument/2006/relationships/hyperlink" Target="mailto:karina.bull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labor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\OTHER\LETTER%20HEAD-J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42F7-C256-453D-B5AF-E821C60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HEAD-JN</Template>
  <TotalTime>4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City of Seattle, Office of Civil Rights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Default</dc:creator>
  <cp:keywords>Germaine W. Covington, Director</cp:keywords>
  <dc:description>Julie Nelson's Letterhead Template</dc:description>
  <cp:lastModifiedBy>Carroll, Rosemary</cp:lastModifiedBy>
  <cp:revision>5</cp:revision>
  <cp:lastPrinted>2017-04-10T21:19:00Z</cp:lastPrinted>
  <dcterms:created xsi:type="dcterms:W3CDTF">2017-04-12T22:59:00Z</dcterms:created>
  <dcterms:modified xsi:type="dcterms:W3CDTF">2017-04-13T22:39:00Z</dcterms:modified>
</cp:coreProperties>
</file>